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6501" w:type="dxa"/>
        <w:tblInd w:w="371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01"/>
      </w:tblGrid>
      <w:tr w:rsidR="00D87FC3">
        <w:tc>
          <w:tcPr>
            <w:tcW w:w="6501" w:type="dxa"/>
            <w:shd w:val="clear" w:color="auto" w:fill="auto"/>
          </w:tcPr>
          <w:p w:rsidR="00D87FC3" w:rsidRDefault="003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87FC3" w:rsidRDefault="0031076A" w:rsidP="00F354A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Докладу о достигнутых значениях показателей эффективности деятельности органов местного самоуправления  Белокалитвинского района за 201</w:t>
            </w:r>
            <w:r w:rsidR="00F354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их планируемых значениях на 3-летний период</w:t>
            </w:r>
          </w:p>
        </w:tc>
      </w:tr>
    </w:tbl>
    <w:p w:rsidR="00D87FC3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7FC3" w:rsidRDefault="00310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D87FC3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C3" w:rsidRDefault="00310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I. Экономическое развитие</w:t>
      </w:r>
    </w:p>
    <w:p w:rsidR="00D87FC3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1. Число субъектов малого и среднего предпринимательства.</w:t>
      </w:r>
    </w:p>
    <w:p w:rsidR="00D25902" w:rsidRPr="00D25902" w:rsidRDefault="00D25902" w:rsidP="00D259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59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расчете на 10 тыс. жителей района количество субъектов малого и среднего предпринимательства составило в 2016 году - 353,44, в 2017 году – 301,</w:t>
      </w:r>
      <w:r w:rsidR="00DA72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D259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ед. Снижение показателя </w:t>
      </w:r>
      <w:r w:rsidRPr="00D25902">
        <w:rPr>
          <w:rFonts w:ascii="Times New Roman" w:hAnsi="Times New Roman" w:cs="Times New Roman"/>
          <w:sz w:val="28"/>
          <w:szCs w:val="28"/>
          <w:lang w:eastAsia="ru-RU"/>
        </w:rPr>
        <w:t xml:space="preserve">связано с тем, что в Единый реестр субъектов малого и среднего предпринимательства (далее Реестр) не попали организации и предприниматели, не сдавшие отчетность за предыдущий год, не исполнившие обязательства по уплате налогов, а также субъекты с организационно-правовой формой «товарищество на вере» (ТНВ) и другие субъекты, не соответствующие критериям отнесения к субъектам МСП, установленным Федеральным законом от 29.12.2015 № 408-ФЗ. Кроме того, в Реестр не попали и отдельные организации, расположенные и осуществляющие деятельность на территории Белокалитвинского района, но зарегистрированные в ИФНС по </w:t>
      </w:r>
      <w:proofErr w:type="spellStart"/>
      <w:r w:rsidRPr="00D25902">
        <w:rPr>
          <w:rFonts w:ascii="Times New Roman" w:hAnsi="Times New Roman" w:cs="Times New Roman"/>
          <w:sz w:val="28"/>
          <w:szCs w:val="28"/>
          <w:lang w:eastAsia="ru-RU"/>
        </w:rPr>
        <w:t>г.Ростову</w:t>
      </w:r>
      <w:proofErr w:type="spellEnd"/>
      <w:r w:rsidRPr="00D25902">
        <w:rPr>
          <w:rFonts w:ascii="Times New Roman" w:hAnsi="Times New Roman" w:cs="Times New Roman"/>
          <w:sz w:val="28"/>
          <w:szCs w:val="28"/>
          <w:lang w:eastAsia="ru-RU"/>
        </w:rPr>
        <w:t>-на-Дону (например, ООО «</w:t>
      </w:r>
      <w:proofErr w:type="spellStart"/>
      <w:r w:rsidRPr="00D25902">
        <w:rPr>
          <w:rFonts w:ascii="Times New Roman" w:hAnsi="Times New Roman" w:cs="Times New Roman"/>
          <w:sz w:val="28"/>
          <w:szCs w:val="28"/>
          <w:lang w:eastAsia="ru-RU"/>
        </w:rPr>
        <w:t>Алунекст</w:t>
      </w:r>
      <w:proofErr w:type="spellEnd"/>
      <w:r w:rsidRPr="00D25902">
        <w:rPr>
          <w:rFonts w:ascii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D25902">
        <w:rPr>
          <w:rFonts w:ascii="Times New Roman" w:hAnsi="Times New Roman" w:cs="Times New Roman"/>
          <w:sz w:val="28"/>
          <w:szCs w:val="28"/>
          <w:lang w:eastAsia="ru-RU"/>
        </w:rPr>
        <w:t>Алувин</w:t>
      </w:r>
      <w:proofErr w:type="spellEnd"/>
      <w:r w:rsidRPr="00D25902">
        <w:rPr>
          <w:rFonts w:ascii="Times New Roman" w:hAnsi="Times New Roman" w:cs="Times New Roman"/>
          <w:sz w:val="28"/>
          <w:szCs w:val="28"/>
          <w:lang w:eastAsia="ru-RU"/>
        </w:rPr>
        <w:t>» и др.).</w:t>
      </w:r>
    </w:p>
    <w:p w:rsidR="00D87FC3" w:rsidRPr="00D25902" w:rsidRDefault="00D25902" w:rsidP="00D259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259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прогнозируемом периоде ожидается возобновление тенденции роста числа субъектов малого и среднего предпринимательства: в 2018 году – 309,30 единиц в расчете на 10 тыс. жителей района, 2019 – 312,50 и 2020 – 318,00 за счет продолжения реализации муниципальной программы.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5902" w:rsidRPr="00D25902" w:rsidRDefault="00D25902" w:rsidP="00D259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259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2017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Белокалитвинского района уменьшилось на 2,4 процентных пункта и составила 22,1%. Снижение показателя связано с тем, что в Единый реестр субъектов малого и среднего предпринимательства (далее Реестр) не попали организации, не сдавшие отчетность за предыдущий год, не исполнившие обязательства по уплате налогов, а также субъекты с организационно-правовой формой «товарищество на вере» (ТНВ) и другие субъекты, не соответствующие критериям отнесения к субъектам МСП, установленным Федеральным законом от 29.12.2015 № 408-ФЗ. Кроме того, в Реестр не попали и отдельные организации, расположенные и осуществляющие деятельность на территории Белокалитвинского района, но зарегистрированные в ИФНС по </w:t>
      </w:r>
      <w:proofErr w:type="spellStart"/>
      <w:r w:rsidRPr="00D259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г.Ростову</w:t>
      </w:r>
      <w:proofErr w:type="spellEnd"/>
      <w:r w:rsidRPr="00D259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-на-Дону (например, среднее предприятие ООО «</w:t>
      </w:r>
      <w:proofErr w:type="spellStart"/>
      <w:r w:rsidRPr="00D259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Алунекст</w:t>
      </w:r>
      <w:proofErr w:type="spellEnd"/>
      <w:r w:rsidRPr="00D259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» с </w:t>
      </w:r>
      <w:r w:rsidRPr="00D259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численностью работников 229 чел.). При этом значительно выросла численность по таким крупным предприятиям, как АО «АМР» (на 180 чел.) и ООО «Шахтоуправление «</w:t>
      </w:r>
      <w:proofErr w:type="spellStart"/>
      <w:r w:rsidRPr="00D259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Садкинское</w:t>
      </w:r>
      <w:proofErr w:type="spellEnd"/>
      <w:r w:rsidRPr="00D259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 (на 130 чел.).</w:t>
      </w:r>
    </w:p>
    <w:p w:rsidR="00D25902" w:rsidRPr="00D25902" w:rsidRDefault="00D25902" w:rsidP="00D259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259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2018 году ожидается значение данного показателя на уровне 22,3%.</w:t>
      </w:r>
    </w:p>
    <w:p w:rsidR="00D25902" w:rsidRPr="00D25902" w:rsidRDefault="00D25902" w:rsidP="00D259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259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2019-2020 годах прогнозируется увеличение данного показателя до 22,70% и 23,00%.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3. Объем инвестиций в основной капитал (за исключением бюджетных средств) в расчете на 1 жителя.</w:t>
      </w:r>
    </w:p>
    <w:p w:rsidR="00913C41" w:rsidRPr="000E5082" w:rsidRDefault="0031076A" w:rsidP="000E5082">
      <w:pPr>
        <w:spacing w:after="0" w:line="240" w:lineRule="auto"/>
        <w:ind w:firstLine="709"/>
        <w:jc w:val="both"/>
      </w:pPr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201</w:t>
      </w:r>
      <w:r w:rsidR="00913C41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году объем инвестиций в основной капитал в расчете на 1 жителя сложился в сумме </w:t>
      </w:r>
      <w:r w:rsidR="00913C41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28950,86 рублей. В 2017</w:t>
      </w:r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году показатель </w:t>
      </w:r>
      <w:r w:rsidR="00913C41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снизился</w:t>
      </w:r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r w:rsidR="00913C41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27,6</w:t>
      </w:r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% и составил </w:t>
      </w:r>
      <w:r w:rsidR="00913C41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20956,85</w:t>
      </w:r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рублей. </w:t>
      </w:r>
    </w:p>
    <w:p w:rsidR="00D87FC3" w:rsidRPr="00DE12B4" w:rsidRDefault="00913C41" w:rsidP="00913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Снижение показателя инвестиционных вложений произошло вследствие того, что ряд крупнейших </w:t>
      </w:r>
      <w:proofErr w:type="spellStart"/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инвестпроектов</w:t>
      </w:r>
      <w:proofErr w:type="spellEnd"/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был завершен в 2016 году, который охарактеризовался очень высоким уровнем инвестиций.</w:t>
      </w:r>
      <w:r w:rsidR="0031076A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D87FC3" w:rsidRPr="00DE12B4" w:rsidRDefault="00913C41">
      <w:pPr>
        <w:spacing w:after="0" w:line="240" w:lineRule="auto"/>
        <w:ind w:firstLine="709"/>
        <w:jc w:val="both"/>
      </w:pPr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2018</w:t>
      </w:r>
      <w:r w:rsidR="0031076A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году прогнозируется увеличение значения данного показателя до </w:t>
      </w:r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21037,45</w:t>
      </w:r>
      <w:r w:rsidR="0031076A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рублей. ООО «ШУ «</w:t>
      </w:r>
      <w:proofErr w:type="spellStart"/>
      <w:r w:rsidR="0031076A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Садкинское</w:t>
      </w:r>
      <w:proofErr w:type="spellEnd"/>
      <w:r w:rsidR="0031076A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планирует приобретение очистного оборудования и модернизацию подземной транспортной цепочки. АО «Алюминий Металлург Рус» планирует осуществление модернизации производства.</w:t>
      </w:r>
    </w:p>
    <w:p w:rsidR="00D87FC3" w:rsidRDefault="00913C41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2019-2020</w:t>
      </w:r>
      <w:r w:rsidR="0031076A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году ООО «ШУ «</w:t>
      </w:r>
      <w:proofErr w:type="spellStart"/>
      <w:r w:rsidR="0031076A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Садкинское</w:t>
      </w:r>
      <w:proofErr w:type="spellEnd"/>
      <w:r w:rsidR="0031076A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направит инвестиции на приобретение и монтаж горного оборудования. Предприятия металлургического сектора экономики предполагают направить средства на обновление оборудования. Объем инвестиций в основной капитал в расчете на 1 жителя по прогнозу увеличится до </w:t>
      </w:r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22435,00 </w:t>
      </w:r>
      <w:r w:rsidR="0031076A"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рублей.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87FC3" w:rsidRPr="00DE12B4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DE12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 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 w:rsidR="00D87FC3" w:rsidRPr="00F354A6" w:rsidRDefault="00F354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12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итогам 2017 года 99,1% площади земельных участков являются объектами налогообложения. К 2020 году данный показатель будет доведен до 99,5%.</w:t>
      </w:r>
      <w:r w:rsidR="0031076A" w:rsidRPr="00F354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87FC3" w:rsidRPr="00DE12B4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DE12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 5. Доля прибыльных сельскохозяйственных организаций в общем их числе.</w:t>
      </w:r>
    </w:p>
    <w:p w:rsidR="00F354A6" w:rsidRPr="00F354A6" w:rsidRDefault="00F354A6" w:rsidP="00F354A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DE12B4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Доля прибыльных сельскохозяйственных организаций в 2017 году снизилась на 15 про</w:t>
      </w:r>
      <w:r w:rsidR="009D0872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центных пунктов и составила 80%.</w:t>
      </w:r>
      <w:r w:rsidRPr="00DE12B4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9D0872" w:rsidRPr="009D0872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Это произошло вследствие высокой </w:t>
      </w:r>
      <w:proofErr w:type="spellStart"/>
      <w:r w:rsidR="009D0872" w:rsidRPr="009D0872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закредитованности</w:t>
      </w:r>
      <w:proofErr w:type="spellEnd"/>
      <w:r w:rsidR="009D0872" w:rsidRPr="009D0872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сельхозпредприятий.</w:t>
      </w:r>
      <w:r w:rsidRPr="00DE12B4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4 предприятия получили убытки: ОАО «Птицефабрика </w:t>
      </w:r>
      <w:proofErr w:type="spellStart"/>
      <w:r w:rsidRPr="00DE12B4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Белокалитвинская</w:t>
      </w:r>
      <w:proofErr w:type="spellEnd"/>
      <w:r w:rsidRPr="00DE12B4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», ООО «Велес», ООО «</w:t>
      </w:r>
      <w:proofErr w:type="spellStart"/>
      <w:r w:rsidRPr="00DE12B4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РосАгро</w:t>
      </w:r>
      <w:proofErr w:type="spellEnd"/>
      <w:r w:rsidRPr="00DE12B4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» и СПК «Экспресс». В результате принимаемых мер</w:t>
      </w:r>
      <w:r w:rsidR="007E63E5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(окончание сроков кредитных обязательств, привлечение инвесторов, расширение рынка сбыта продукции)</w:t>
      </w:r>
      <w:r w:rsidRPr="00DE12B4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по выведению предприятий на безубыточный уровень к 2020 году планируется доведение данного показателя до 95%.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1C6DBB" w:rsidRPr="00DE12B4" w:rsidRDefault="001C6DBB" w:rsidP="007713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E12B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Доля автомобильных дорог общего пользования местного </w:t>
      </w:r>
      <w:r w:rsidR="00DE41D4" w:rsidRPr="00DE12B4">
        <w:rPr>
          <w:rFonts w:ascii="Times New Roman" w:hAnsi="Times New Roman" w:cs="Times New Roman"/>
          <w:color w:val="auto"/>
          <w:sz w:val="28"/>
          <w:szCs w:val="28"/>
        </w:rPr>
        <w:t>значения,</w:t>
      </w:r>
      <w:r w:rsidR="00DE41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12B4">
        <w:rPr>
          <w:rFonts w:ascii="Times New Roman" w:hAnsi="Times New Roman" w:cs="Times New Roman"/>
          <w:color w:val="auto"/>
          <w:sz w:val="28"/>
          <w:szCs w:val="28"/>
        </w:rPr>
        <w:t xml:space="preserve">не отвечающих нормативным требованиям в 2017 году составила 52,45 %. </w:t>
      </w:r>
      <w:r w:rsidR="00DE41D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E12B4">
        <w:rPr>
          <w:rFonts w:ascii="Times New Roman" w:hAnsi="Times New Roman" w:cs="Times New Roman"/>
          <w:color w:val="auto"/>
          <w:sz w:val="28"/>
          <w:szCs w:val="28"/>
        </w:rPr>
        <w:t xml:space="preserve"> отчетном году работа по ремонту, содержанию и строительству автомобильных дорог велась активно, поэтому по сравнению с базовыми показателями 2016 года данный показатель снизился на 0,12 %. </w:t>
      </w:r>
    </w:p>
    <w:p w:rsidR="00D87FC3" w:rsidRDefault="001C6DBB" w:rsidP="001C6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2B4">
        <w:rPr>
          <w:rFonts w:ascii="Times New Roman" w:hAnsi="Times New Roman" w:cs="Times New Roman"/>
          <w:color w:val="auto"/>
          <w:sz w:val="28"/>
          <w:szCs w:val="28"/>
        </w:rPr>
        <w:t>В 2018 году планируется продолжать принимать меры по приведению автомобильных дорог общего пользования местного значения к нормативным требованиям, подвести итоги паспортизации автомобильных дорог общего пользования местного значения и довести значение данного показателя до 52,25</w:t>
      </w:r>
      <w:proofErr w:type="gramStart"/>
      <w:r w:rsidR="00E159F8" w:rsidRPr="00DE12B4">
        <w:rPr>
          <w:rFonts w:ascii="Times New Roman" w:hAnsi="Times New Roman" w:cs="Times New Roman"/>
          <w:color w:val="auto"/>
          <w:sz w:val="28"/>
          <w:szCs w:val="28"/>
        </w:rPr>
        <w:t xml:space="preserve">%,  </w:t>
      </w:r>
      <w:r w:rsidRPr="00DE12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 w:rsidRPr="00DE12B4">
        <w:rPr>
          <w:rFonts w:ascii="Times New Roman" w:hAnsi="Times New Roman" w:cs="Times New Roman"/>
          <w:color w:val="auto"/>
          <w:sz w:val="28"/>
          <w:szCs w:val="28"/>
        </w:rPr>
        <w:t xml:space="preserve">          в 2019 – 52,05%, в 2020 – 51,85%</w:t>
      </w:r>
    </w:p>
    <w:p w:rsidR="001C6DBB" w:rsidRDefault="001C6DBB" w:rsidP="001C6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C6DBB" w:rsidRPr="001C6DBB" w:rsidRDefault="0031076A" w:rsidP="001C6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1C6DBB" w:rsidRPr="00DE12B4" w:rsidRDefault="001C6DBB" w:rsidP="001C6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E12B4">
        <w:rPr>
          <w:rFonts w:ascii="Times New Roman" w:hAnsi="Times New Roman" w:cs="Times New Roman"/>
          <w:color w:val="auto"/>
          <w:sz w:val="28"/>
          <w:szCs w:val="28"/>
        </w:rPr>
        <w:t>По состоянию на 1 января 2017 года на территории Белокалитвинского района расположены 15 населенных пунктов с общей численностью 705 человек, которые не имеют регулярного автобусного и (</w:t>
      </w:r>
      <w:r w:rsidR="003E2B31">
        <w:rPr>
          <w:rFonts w:ascii="Times New Roman" w:hAnsi="Times New Roman" w:cs="Times New Roman"/>
          <w:color w:val="auto"/>
          <w:sz w:val="28"/>
          <w:szCs w:val="28"/>
        </w:rPr>
        <w:t xml:space="preserve">или) железнодорожного сообщения с </w:t>
      </w:r>
      <w:r w:rsidRPr="00DE12B4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административным центром </w:t>
      </w:r>
      <w:r w:rsidR="009D087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E12B4">
        <w:rPr>
          <w:rFonts w:ascii="Times New Roman" w:hAnsi="Times New Roman" w:cs="Times New Roman"/>
          <w:color w:val="auto"/>
          <w:sz w:val="28"/>
          <w:szCs w:val="28"/>
        </w:rPr>
        <w:t xml:space="preserve"> город Белая Калитва. В результате этого, доля населения, проживающего в данных населенных пунктах составила 0,76%.</w:t>
      </w:r>
    </w:p>
    <w:p w:rsidR="001C6DBB" w:rsidRPr="00DE12B4" w:rsidRDefault="001C6DBB" w:rsidP="001C6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2B4">
        <w:rPr>
          <w:rFonts w:ascii="Times New Roman" w:hAnsi="Times New Roman" w:cs="Times New Roman"/>
          <w:color w:val="auto"/>
          <w:sz w:val="28"/>
          <w:szCs w:val="28"/>
        </w:rPr>
        <w:t>Причины отсутствия автобусного сообщения, это:</w:t>
      </w:r>
    </w:p>
    <w:p w:rsidR="001C6DBB" w:rsidRPr="00DE12B4" w:rsidRDefault="001C6DBB" w:rsidP="001C6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2B4">
        <w:rPr>
          <w:rFonts w:ascii="Times New Roman" w:hAnsi="Times New Roman" w:cs="Times New Roman"/>
          <w:color w:val="auto"/>
          <w:sz w:val="28"/>
          <w:szCs w:val="28"/>
        </w:rPr>
        <w:t>- малая численность проживающих в населенных пунктах (от 8 до 90 человек) является основным фактором, влияющим на представление межбюджетных трансфертов на строительство дорог;</w:t>
      </w:r>
    </w:p>
    <w:p w:rsidR="001C6DBB" w:rsidRPr="00DE12B4" w:rsidRDefault="001C6DBB" w:rsidP="001C6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2B4">
        <w:rPr>
          <w:rFonts w:ascii="Times New Roman" w:hAnsi="Times New Roman" w:cs="Times New Roman"/>
          <w:color w:val="auto"/>
          <w:sz w:val="28"/>
          <w:szCs w:val="28"/>
        </w:rPr>
        <w:t>- большая отдаленность от административного центра, в связи с чем движение пассажирского автотранспорта является нерентабельным, а также несоответствие отдельных дорог нормативным требованиям по обеспечению безопасности дорожного движения.</w:t>
      </w:r>
    </w:p>
    <w:p w:rsidR="00D87FC3" w:rsidRDefault="001C6DBB" w:rsidP="001C6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2B4">
        <w:rPr>
          <w:rFonts w:ascii="Times New Roman" w:hAnsi="Times New Roman" w:cs="Times New Roman"/>
          <w:color w:val="auto"/>
          <w:sz w:val="28"/>
          <w:szCs w:val="28"/>
        </w:rPr>
        <w:t>Тем не менее, Администрация Белокалитвинского района взаимодействует                        с руководителями организаций, осуществляющих пассажирские перевозки                              по вопросу внесения изменений в схемы движения автотранспорта и охвата ранее                   не обеспеченного пассажирскими перевозками населения, что позволит снизить значения показателя в 2018 году до 0,75%, в 2019 – 0,74%, в 2020 – 0,73%.</w:t>
      </w:r>
    </w:p>
    <w:p w:rsidR="00907AE3" w:rsidRDefault="00907AE3" w:rsidP="001C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8. Среднемесячная номинальная заработная плата работников: крупных и средних предприятий и некоммерческих организаций Белокалитвинского района; муниципальных дошкольных образовательных учреждений; муниципальных общеобразовательных учреждений; муниципальных учреждений культуры и искусства; муниципальных учреждений физической культуры и спорта.</w:t>
      </w:r>
    </w:p>
    <w:p w:rsidR="000E5082" w:rsidRDefault="0031076A" w:rsidP="000E508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DE12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среднемесячная номинальная заработная плата работников крупных и средних предприятий и некоммерческих организаций Белокалитвинского района увеличилась по сравнению с 201</w:t>
      </w:r>
      <w:r w:rsidR="00DE12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DE12B4">
        <w:rPr>
          <w:rFonts w:ascii="Times New Roman" w:hAnsi="Times New Roman" w:cs="Times New Roman"/>
          <w:sz w:val="28"/>
          <w:szCs w:val="28"/>
        </w:rPr>
        <w:t>5,97</w:t>
      </w:r>
      <w:r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DE12B4">
        <w:rPr>
          <w:rFonts w:ascii="Times New Roman" w:hAnsi="Times New Roman" w:cs="Times New Roman"/>
          <w:sz w:val="28"/>
          <w:szCs w:val="28"/>
        </w:rPr>
        <w:t>24359,10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87FC3" w:rsidRDefault="0031076A" w:rsidP="000E508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Рост среднемесячной номинальной заработной платы работников обусловлен доведением минимального размера оплаты труда до величины прожиточного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минимума трудоспособного населения в Ростовской области на предприятиях внебюджетной сферы. На 201</w:t>
      </w:r>
      <w:r w:rsidR="00DE12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E12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прогнозируется увеличение среднемесячной заработной платы и доведение ее к 20</w:t>
      </w:r>
      <w:r w:rsidR="00DE12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 2</w:t>
      </w:r>
      <w:r w:rsidR="00DE12B4">
        <w:rPr>
          <w:rFonts w:ascii="Times New Roman" w:hAnsi="Times New Roman" w:cs="Times New Roman"/>
          <w:sz w:val="28"/>
          <w:szCs w:val="28"/>
        </w:rPr>
        <w:t>8315</w:t>
      </w:r>
      <w:r>
        <w:rPr>
          <w:rFonts w:ascii="Times New Roman" w:hAnsi="Times New Roman" w:cs="Times New Roman"/>
          <w:sz w:val="28"/>
          <w:szCs w:val="28"/>
        </w:rPr>
        <w:t>,00 рублей.</w:t>
      </w:r>
    </w:p>
    <w:p w:rsidR="00D87FC3" w:rsidRPr="00CC6B0C" w:rsidRDefault="0031076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91E6D" w:rsidRPr="00CC6B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2017 году среднемесячная начисленная заработная плата работников муниципальных дошкольных образовательных учреждений составила 14599,30 рублей и увеличилась по сравнению с 2016 годом на 273,50 рублей</w:t>
      </w:r>
      <w:r w:rsidR="006E3D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91E6D" w:rsidRPr="00CC6B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3D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связано</w:t>
      </w:r>
      <w:r w:rsidR="00A91E6D" w:rsidRPr="00CC6B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увеличением минимального размера оплаты труда </w:t>
      </w:r>
      <w:r w:rsidR="006E3DF2" w:rsidRPr="00CC6B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1 июля 2017 года</w:t>
      </w:r>
      <w:r w:rsidR="00A91E6D" w:rsidRPr="00CC6B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7800 рублей </w:t>
      </w:r>
      <w:r w:rsidR="006E3DF2" w:rsidRPr="00CC6B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доведением</w:t>
      </w:r>
      <w:r w:rsidR="00A91E6D" w:rsidRPr="00CC6B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средней заработной платы педагогических работников дошкольных образовательных учреждений до 100% средней заработной платы в сфере общего образования в Ростовской области в соответствии с Указом Президента Российской Федерации от 07.05.2012 №597 «О мероприятиях по реализации государственной социальной политики». Незначительный рост среднемесячной начисленной заработной платы работников муниципальных дошкольных образовательных учреждений связан с простоями </w:t>
      </w:r>
      <w:r w:rsidR="006E3D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МБДОУ ДС</w:t>
      </w:r>
      <w:r w:rsidR="009A65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№7 «</w:t>
      </w:r>
      <w:r w:rsidR="006E3D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Солнышко»</w:t>
      </w:r>
      <w:r w:rsidR="006E3DF2" w:rsidRPr="009A65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3DF2">
        <w:rPr>
          <w:rFonts w:ascii="Times New Roman" w:hAnsi="Times New Roman" w:cs="Times New Roman"/>
          <w:color w:val="auto"/>
          <w:sz w:val="28"/>
          <w:szCs w:val="28"/>
        </w:rPr>
        <w:t xml:space="preserve">и МБДОУ ДС </w:t>
      </w:r>
      <w:r w:rsidR="006E3DF2" w:rsidRPr="00CC6B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№87 «Светлячок»</w:t>
      </w:r>
      <w:r w:rsidR="006E3D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91E6D" w:rsidRPr="00CC6B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время проведения строительных работ по организации беспрепятственного доступа для детей-инвалидов</w:t>
      </w:r>
      <w:r w:rsidR="006E3D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A91E6D" w:rsidRPr="00CC6B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необходимостью ремонта крыши и электропроводки.  Рост среднемесячной начисленной заработной платы работников муниципальных дошкольных образовательных учреждений в 2018-2020 годах обусловлен продолжающимся поэтапным повышением заработной платы педагогических работников и увеличением минимального размера оплаты труда с 1 мая 2018 года до 11163 рублей.</w:t>
      </w:r>
    </w:p>
    <w:p w:rsidR="00643426" w:rsidRPr="00CC6B0C" w:rsidRDefault="0064342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6B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2017 году среднемесячная начисленная заработная плата работников муниципальных общеобразовательных учреждений составила 22101,90 рублей и увеличилась по сравнению с 2016 годом на 1523,90 рублей</w:t>
      </w:r>
      <w:r w:rsidR="006E3D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E3DF2" w:rsidRPr="006E3D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3DF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связано</w:t>
      </w:r>
      <w:r w:rsidR="006E3DF2" w:rsidRPr="00CC6B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увеличением минимального размера оплаты труда с 1 июля 2017 года до 7800 рублей и доведением средней заработной платы</w:t>
      </w:r>
      <w:r w:rsidRPr="00CC6B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педагогических работников общеобразовательных учреждений до 100% средней заработной платы в сфере общего образования в Ростовской области в соответствии с Указом Президента Российской Федерации от 07.05.2012 №597 «О мероприятиях по реализации государственной социальной политики». Рост среднемесячной начисленной заработной платы работников муниципальных общеобразовательных учреждений в 2018-2020 годах обусловлен продолжающимся поэтапным повышением заработной платы педагогических работников и увеличением минимального размера оплаты труда с 1 мая 2018 года до 11163 рублей.</w:t>
      </w:r>
    </w:p>
    <w:p w:rsidR="00D87FC3" w:rsidRPr="00CC6B0C" w:rsidRDefault="00643426">
      <w:pPr>
        <w:suppressAutoHyphens w:val="0"/>
        <w:spacing w:after="0" w:line="240" w:lineRule="auto"/>
        <w:ind w:firstLine="709"/>
        <w:jc w:val="both"/>
      </w:pPr>
      <w:r w:rsidRPr="00CC6B0C">
        <w:rPr>
          <w:rFonts w:ascii="Times New Roman" w:hAnsi="Times New Roman" w:cs="Times New Roman"/>
          <w:sz w:val="28"/>
          <w:szCs w:val="28"/>
        </w:rPr>
        <w:t>В 2017 году среднемесячная начисленная заработная плата учителей муниципальных общеобразовательных учреждений составила 26836,40 рублей и составила сто процентов к уровню 2016 года. Таким образом, был достигнут целевой показатель, установленный Указом Президента Российской Федерации от 07.05.2012 №597 «О мероприятиях по реализации государственной социальной политики» и обеспечено достижение заработной платы учителей муниципальных общеобразовательных учреждений в 2017 году не ниже уровня 2016 года. Рост среднемесячной начисленной заработной платы учителей муниципальных общеобразовательных учреждений в 2018-2020 годах обусловлен продолжающимся поэтапным повышением заработной платы учителей.</w:t>
      </w:r>
    </w:p>
    <w:p w:rsidR="00D87FC3" w:rsidRPr="00CC6B0C" w:rsidRDefault="00254613" w:rsidP="00B906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2017 году среднемесячная заработная плата работников муниципальных учреждений культуры и искусства составила</w:t>
      </w:r>
      <w:r w:rsidR="005F42DE" w:rsidRPr="00CC6B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54BC" w:rsidRPr="00CC6B0C">
        <w:rPr>
          <w:rFonts w:ascii="Times New Roman" w:hAnsi="Times New Roman" w:cs="Times New Roman"/>
          <w:color w:val="auto"/>
          <w:sz w:val="28"/>
          <w:szCs w:val="28"/>
        </w:rPr>
        <w:t>23009</w:t>
      </w:r>
      <w:r w:rsidR="005F42DE" w:rsidRPr="00CC6B0C"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увеличилась по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сравнению с 2016 годом на 4710,10 рублей</w:t>
      </w:r>
      <w:r w:rsidR="005F42DE" w:rsidRPr="00CC6B0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F42DE" w:rsidRPr="00CC6B0C">
        <w:rPr>
          <w:rFonts w:ascii="Times New Roman" w:hAnsi="Times New Roman" w:cs="Times New Roman"/>
          <w:color w:val="auto"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F42DE" w:rsidRPr="00CC6B0C">
        <w:rPr>
          <w:rFonts w:ascii="Times New Roman" w:hAnsi="Times New Roman" w:cs="Times New Roman"/>
          <w:color w:val="auto"/>
          <w:sz w:val="28"/>
          <w:szCs w:val="28"/>
        </w:rPr>
        <w:t xml:space="preserve"> ожидается достижение целевого показателя 26412,20 рублей согласно «дорожной карте».</w:t>
      </w:r>
      <w:r w:rsidR="00B906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0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прогнозируемый период уровень среднемесячной номинальной заработной платы работников учреждений культуры и искусства будет повышаться </w:t>
      </w:r>
      <w:r w:rsidR="00B906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реализацией Указа Президента Российской Федерации от 07.05.2012 №597 «О мероприятиях по реализации государственной социальной политики» и</w:t>
      </w:r>
      <w:r w:rsidR="00B90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постановления Администрации Белокалитвинского района от 24.04.2013 №613 «Об утверждении Плана мероприятий («дорожной карты»).</w:t>
      </w:r>
    </w:p>
    <w:p w:rsidR="00D87FC3" w:rsidRPr="00CC6B0C" w:rsidRDefault="001C1648" w:rsidP="001C16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6B0C">
        <w:rPr>
          <w:rFonts w:ascii="Times New Roman" w:hAnsi="Times New Roman" w:cs="Times New Roman"/>
          <w:color w:val="auto"/>
          <w:sz w:val="28"/>
          <w:szCs w:val="28"/>
        </w:rPr>
        <w:t>В 2017 году среднемесячная начисленная заработная плата работников муниципальных учреждений физической культуры и спорта составила 16935,00 рублей. Рост среднемесячной начисленной заработной платы работников муниципальных дошкольных образовательных учреждений в 2018-2020 годах обусловлен продолжающимся поэтапным повышением заработной платы педагогических работников и увеличением минимального размера оплаты труда с 1 мая 2018 года до 11163 рублей.</w:t>
      </w:r>
    </w:p>
    <w:p w:rsidR="00D87FC3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II. Дошкольное образование</w:t>
      </w:r>
    </w:p>
    <w:p w:rsidR="00D87FC3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Показатель 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 </w:t>
      </w:r>
    </w:p>
    <w:p w:rsidR="00CC6B0C" w:rsidRPr="00CC6B0C" w:rsidRDefault="00CC6B0C" w:rsidP="00CC6B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CC6B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2017 году по отношению к 2016 году данный показатель увеличился на 0,3 % и составил 57,4%. </w:t>
      </w:r>
    </w:p>
    <w:p w:rsidR="00CC6B0C" w:rsidRPr="00CC6B0C" w:rsidRDefault="00CC6B0C" w:rsidP="00CC6B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CC6B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Увеличение значения данного показателя связано с доукомплектованием действующих детских садов. </w:t>
      </w:r>
    </w:p>
    <w:p w:rsidR="00CC6B0C" w:rsidRPr="00CC6B0C" w:rsidRDefault="006E3DF2" w:rsidP="00CC6B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связи с планируемым вводом </w:t>
      </w:r>
      <w:r w:rsidRPr="00CC6B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действие трёх строящихся детских садов на 460 мест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</w:t>
      </w:r>
      <w:r w:rsidR="00CC6B0C" w:rsidRPr="00CC6B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2018 году данный показатель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прогноз</w:t>
      </w:r>
      <w:r w:rsidR="00CC6B0C" w:rsidRPr="00CC6B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ируется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 уровне</w:t>
      </w:r>
      <w:r w:rsidR="00CC6B0C" w:rsidRPr="00CC6B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70,00%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 сохранится</w:t>
      </w:r>
      <w:r w:rsidR="00CC6B0C" w:rsidRPr="00CC6B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 период</w:t>
      </w:r>
      <w:r w:rsidR="00CC6B0C" w:rsidRPr="00CC6B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до 2020 года. </w:t>
      </w:r>
    </w:p>
    <w:p w:rsidR="00D87FC3" w:rsidRDefault="00D87FC3" w:rsidP="00CC6B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D87FC3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Показатель 10.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лет. </w:t>
      </w:r>
    </w:p>
    <w:p w:rsidR="00643426" w:rsidRPr="00CC6B0C" w:rsidRDefault="00643426" w:rsidP="00CC6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6B0C">
        <w:rPr>
          <w:rFonts w:ascii="Times New Roman" w:hAnsi="Times New Roman" w:cs="Times New Roman"/>
          <w:color w:val="auto"/>
          <w:sz w:val="28"/>
          <w:szCs w:val="28"/>
        </w:rPr>
        <w:t>В 2017 году по отношению к 2016 году данный показатель улучшился на 1,05 % и составил 17,42%.</w:t>
      </w:r>
    </w:p>
    <w:p w:rsidR="00643426" w:rsidRPr="00CC6B0C" w:rsidRDefault="00643426" w:rsidP="00CC6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6B0C">
        <w:rPr>
          <w:rFonts w:ascii="Times New Roman" w:hAnsi="Times New Roman" w:cs="Times New Roman"/>
          <w:color w:val="auto"/>
          <w:sz w:val="28"/>
          <w:szCs w:val="28"/>
        </w:rPr>
        <w:t xml:space="preserve">Улучшение данного показателя </w:t>
      </w:r>
      <w:r w:rsidR="00B52F77" w:rsidRPr="00CC6B0C">
        <w:rPr>
          <w:rFonts w:ascii="Times New Roman" w:hAnsi="Times New Roman" w:cs="Times New Roman"/>
          <w:color w:val="auto"/>
          <w:sz w:val="28"/>
          <w:szCs w:val="28"/>
        </w:rPr>
        <w:t>объясняется увеличением</w:t>
      </w:r>
      <w:r w:rsidRPr="00CC6B0C">
        <w:rPr>
          <w:rFonts w:ascii="Times New Roman" w:hAnsi="Times New Roman" w:cs="Times New Roman"/>
          <w:color w:val="auto"/>
          <w:sz w:val="28"/>
          <w:szCs w:val="28"/>
        </w:rPr>
        <w:t xml:space="preserve"> охвата дошкольным образованием детей в возрасте от 2 до 3 лет, данная категория составляла основную часть очереди.</w:t>
      </w:r>
    </w:p>
    <w:p w:rsidR="00D87FC3" w:rsidRPr="00CC6B0C" w:rsidRDefault="00CC6B0C" w:rsidP="00CC6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43426" w:rsidRPr="00CC6B0C">
        <w:rPr>
          <w:rFonts w:ascii="Times New Roman" w:hAnsi="Times New Roman" w:cs="Times New Roman"/>
          <w:color w:val="auto"/>
          <w:sz w:val="28"/>
          <w:szCs w:val="28"/>
        </w:rPr>
        <w:t xml:space="preserve"> 2018 году данный показатель планируется довести до 6,00% в связи с</w:t>
      </w:r>
      <w:r w:rsidR="00295F6A">
        <w:rPr>
          <w:rFonts w:ascii="Times New Roman" w:hAnsi="Times New Roman" w:cs="Times New Roman"/>
          <w:color w:val="auto"/>
          <w:sz w:val="28"/>
          <w:szCs w:val="28"/>
        </w:rPr>
        <w:t xml:space="preserve"> ожида</w:t>
      </w:r>
      <w:r w:rsidR="00643426" w:rsidRPr="00CC6B0C">
        <w:rPr>
          <w:rFonts w:ascii="Times New Roman" w:hAnsi="Times New Roman" w:cs="Times New Roman"/>
          <w:color w:val="auto"/>
          <w:sz w:val="28"/>
          <w:szCs w:val="28"/>
        </w:rPr>
        <w:t>емым введением в действие трёх строящихся детских садов на 460 мест.</w:t>
      </w:r>
    </w:p>
    <w:p w:rsidR="00D87FC3" w:rsidRPr="00CC6B0C" w:rsidRDefault="00D87FC3" w:rsidP="00CC6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7FC3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Показатель 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D87FC3" w:rsidRDefault="00643426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CC6B0C">
        <w:rPr>
          <w:rFonts w:ascii="Times New Roman" w:hAnsi="Times New Roman" w:cs="Times New Roman"/>
          <w:sz w:val="28"/>
          <w:szCs w:val="28"/>
        </w:rPr>
        <w:t xml:space="preserve">Показатель за 2017 год по сравнению с 2016 годом </w:t>
      </w:r>
      <w:r w:rsidR="00353E26">
        <w:rPr>
          <w:rFonts w:ascii="Times New Roman" w:hAnsi="Times New Roman" w:cs="Times New Roman"/>
          <w:sz w:val="28"/>
          <w:szCs w:val="28"/>
        </w:rPr>
        <w:t>снизился до «0»</w:t>
      </w:r>
      <w:r w:rsidRPr="00CC6B0C">
        <w:rPr>
          <w:rFonts w:ascii="Times New Roman" w:hAnsi="Times New Roman" w:cs="Times New Roman"/>
          <w:sz w:val="28"/>
          <w:szCs w:val="28"/>
        </w:rPr>
        <w:t xml:space="preserve"> в связи с ликвидацией МБДОУ ДС № 27 «Морячок» (постановление Администрации </w:t>
      </w:r>
      <w:r w:rsidRPr="00CC6B0C">
        <w:rPr>
          <w:rFonts w:ascii="Times New Roman" w:hAnsi="Times New Roman" w:cs="Times New Roman"/>
          <w:sz w:val="28"/>
          <w:szCs w:val="28"/>
        </w:rPr>
        <w:lastRenderedPageBreak/>
        <w:t>Белокалитвинского района № 1425 «О ликвидации муниципального бюджетного дошкольного образовательного учреждения детского сада № 27 «Морячок» от 27 октября 2016).</w:t>
      </w:r>
    </w:p>
    <w:p w:rsidR="00CC6B0C" w:rsidRDefault="00CC6B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D87FC3" w:rsidRDefault="0031076A">
      <w:pPr>
        <w:spacing w:after="0" w:line="240" w:lineRule="auto"/>
        <w:ind w:firstLine="709"/>
        <w:jc w:val="center"/>
        <w:rPr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III. Общее и дополнительное образование</w:t>
      </w:r>
    </w:p>
    <w:p w:rsidR="00D87FC3" w:rsidRDefault="00D87FC3" w:rsidP="00575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D87FC3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Показатель 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 </w:t>
      </w:r>
    </w:p>
    <w:p w:rsidR="0057531F" w:rsidRPr="005C67F3" w:rsidRDefault="0057531F" w:rsidP="0057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F3">
        <w:rPr>
          <w:rFonts w:ascii="Times New Roman" w:hAnsi="Times New Roman" w:cs="Times New Roman"/>
          <w:sz w:val="28"/>
          <w:szCs w:val="28"/>
        </w:rPr>
        <w:t xml:space="preserve">Доля выпускников, не получивших аттестаты в 2017 году, увеличилась по отношению к 2016 году на 0,7% и составила 0,7% (2 человека от общего числа выпускников). </w:t>
      </w:r>
      <w:r w:rsidR="005C67F3" w:rsidRPr="005C67F3">
        <w:rPr>
          <w:rFonts w:ascii="Times New Roman" w:hAnsi="Times New Roman" w:cs="Times New Roman"/>
          <w:sz w:val="28"/>
          <w:szCs w:val="28"/>
        </w:rPr>
        <w:t>Ухудшение данного</w:t>
      </w:r>
      <w:r w:rsidRPr="005C67F3">
        <w:rPr>
          <w:rFonts w:ascii="Times New Roman" w:hAnsi="Times New Roman" w:cs="Times New Roman"/>
          <w:sz w:val="28"/>
          <w:szCs w:val="28"/>
        </w:rPr>
        <w:t xml:space="preserve"> показателя связано с </w:t>
      </w:r>
      <w:r w:rsidR="009022E2">
        <w:rPr>
          <w:rFonts w:ascii="Times New Roman" w:hAnsi="Times New Roman" w:cs="Times New Roman"/>
          <w:sz w:val="28"/>
          <w:szCs w:val="28"/>
        </w:rPr>
        <w:t>тем, что</w:t>
      </w:r>
      <w:r w:rsidRPr="005C67F3">
        <w:rPr>
          <w:rFonts w:ascii="Times New Roman" w:hAnsi="Times New Roman" w:cs="Times New Roman"/>
          <w:sz w:val="28"/>
          <w:szCs w:val="28"/>
        </w:rPr>
        <w:t xml:space="preserve"> 1 человек не сдал ЕГЭ по математике и 1 человек не сдавал ЕГЭ по русскому языку и математике в связи с болезнью. </w:t>
      </w:r>
    </w:p>
    <w:p w:rsidR="00D87FC3" w:rsidRPr="005C67F3" w:rsidRDefault="0057531F" w:rsidP="00575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F3">
        <w:rPr>
          <w:rFonts w:ascii="Times New Roman" w:hAnsi="Times New Roman" w:cs="Times New Roman"/>
          <w:sz w:val="28"/>
          <w:szCs w:val="28"/>
        </w:rPr>
        <w:t>В 2018-2020 годах данный показатель планируется на уровне 0,0%.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5C67F3" w:rsidRPr="005C67F3" w:rsidRDefault="0031076A" w:rsidP="005C67F3">
      <w:pPr>
        <w:spacing w:after="0" w:line="240" w:lineRule="auto"/>
        <w:ind w:firstLine="709"/>
        <w:jc w:val="both"/>
        <w:rPr>
          <w:shd w:val="clear" w:color="auto" w:fill="FFFF99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Показатель 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ab/>
      </w:r>
    </w:p>
    <w:p w:rsidR="005C67F3" w:rsidRPr="005C67F3" w:rsidRDefault="005C67F3" w:rsidP="005C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5C67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2017 году данный показатель ухудшился по отношению к 2016 году </w:t>
      </w:r>
      <w:r w:rsidR="00E159F8" w:rsidRPr="005C67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 </w:t>
      </w:r>
      <w:r w:rsidR="00E159F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Pr="005C67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,95% и составил 85,63%. Изменение данного показателя связано с новой методикой расчёта. К 2020 году планируется довести значение данного показателя до 90,00%</w:t>
      </w:r>
      <w:r w:rsidR="007E63E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за счет </w:t>
      </w:r>
      <w:r w:rsidR="00260209" w:rsidRPr="002602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приобретени</w:t>
      </w:r>
      <w:r w:rsidR="002602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я современных</w:t>
      </w:r>
      <w:r w:rsidR="00260209" w:rsidRPr="002602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средств обучения, компьютерного, интерактивного оборудования, спортивного оборудования и инвентаря</w:t>
      </w:r>
      <w:r w:rsidR="002602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D87FC3" w:rsidRDefault="00D87FC3" w:rsidP="005C6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7FC3" w:rsidRDefault="0031076A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Показатель 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ab/>
      </w:r>
    </w:p>
    <w:p w:rsidR="005C67F3" w:rsidRPr="005C67F3" w:rsidRDefault="005C67F3" w:rsidP="005C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5C67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2017 году доля общеобразовательных организаций, здания которых находятся в аварийном состоянии или требуют капитального ремонта, уменьшилась по сравнению с 2016 годом на 0,59% и составила 1,79 %. </w:t>
      </w:r>
    </w:p>
    <w:p w:rsidR="005C67F3" w:rsidRPr="005C67F3" w:rsidRDefault="005C67F3" w:rsidP="005C6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5C67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2018-2020 годах данный показатель</w:t>
      </w:r>
      <w:r w:rsidR="009022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прогнозируется</w:t>
      </w:r>
      <w:r w:rsidRPr="005C67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на уровне 5,36% (требую</w:t>
      </w:r>
      <w:r w:rsidR="009022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</w:t>
      </w:r>
      <w:r w:rsidRPr="005C67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капитального ремонта </w:t>
      </w:r>
      <w:r w:rsidR="009022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здания МБОУ СОШ №3, </w:t>
      </w:r>
      <w:r w:rsidRPr="005C67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МБОУ СОШ № 11 и МБОУ </w:t>
      </w:r>
      <w:proofErr w:type="spellStart"/>
      <w:r w:rsidRPr="005C67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Богураевская</w:t>
      </w:r>
      <w:proofErr w:type="spellEnd"/>
      <w:r w:rsidRPr="005C67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СОШ)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D87FC3" w:rsidRDefault="00D87FC3" w:rsidP="005C6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7FC3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Показатель 16. Доля детей первой и второй групп здоровья в общей численности обучающихся в муниципальных общеобразовательных учреждениях.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ab/>
      </w:r>
    </w:p>
    <w:p w:rsidR="006E484F" w:rsidRPr="006E484F" w:rsidRDefault="006E484F" w:rsidP="006E484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4F">
        <w:rPr>
          <w:rFonts w:ascii="Times New Roman" w:hAnsi="Times New Roman" w:cs="Times New Roman"/>
          <w:sz w:val="28"/>
          <w:szCs w:val="28"/>
        </w:rPr>
        <w:t>Доля детей I и II групп здоровья среди школьников остается стабильно высокой.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484F">
        <w:rPr>
          <w:rFonts w:ascii="Times New Roman" w:hAnsi="Times New Roman" w:cs="Times New Roman"/>
          <w:sz w:val="28"/>
          <w:szCs w:val="28"/>
        </w:rPr>
        <w:t xml:space="preserve"> году данный показатель увеличился по отношению к 201</w:t>
      </w:r>
      <w:r>
        <w:rPr>
          <w:rFonts w:ascii="Times New Roman" w:hAnsi="Times New Roman" w:cs="Times New Roman"/>
          <w:sz w:val="28"/>
          <w:szCs w:val="28"/>
        </w:rPr>
        <w:t>6 году на 0,1</w:t>
      </w:r>
      <w:r w:rsidRPr="006E484F">
        <w:rPr>
          <w:rFonts w:ascii="Times New Roman" w:hAnsi="Times New Roman" w:cs="Times New Roman"/>
          <w:sz w:val="28"/>
          <w:szCs w:val="28"/>
        </w:rPr>
        <w:t>5 процентного пункта и составил 90,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6E484F">
        <w:rPr>
          <w:rFonts w:ascii="Times New Roman" w:hAnsi="Times New Roman" w:cs="Times New Roman"/>
          <w:sz w:val="28"/>
          <w:szCs w:val="28"/>
        </w:rPr>
        <w:t xml:space="preserve">%. Рост данного показателя связан с повышением качества медицинского обслуживания и внедрением </w:t>
      </w:r>
      <w:proofErr w:type="spellStart"/>
      <w:r w:rsidRPr="006E484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E484F">
        <w:rPr>
          <w:rFonts w:ascii="Times New Roman" w:hAnsi="Times New Roman" w:cs="Times New Roman"/>
          <w:sz w:val="28"/>
          <w:szCs w:val="28"/>
        </w:rPr>
        <w:t xml:space="preserve"> технологий в общеобразовательных организациях.</w:t>
      </w:r>
    </w:p>
    <w:p w:rsidR="00D87FC3" w:rsidRDefault="006E484F" w:rsidP="006E484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2020</w:t>
      </w:r>
      <w:r w:rsidRPr="006E484F">
        <w:rPr>
          <w:rFonts w:ascii="Times New Roman" w:hAnsi="Times New Roman" w:cs="Times New Roman"/>
          <w:sz w:val="28"/>
          <w:szCs w:val="28"/>
        </w:rPr>
        <w:t xml:space="preserve"> году данный показатель планируется сохранить на уровне 90,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6E484F">
        <w:rPr>
          <w:rFonts w:ascii="Times New Roman" w:hAnsi="Times New Roman" w:cs="Times New Roman"/>
          <w:sz w:val="28"/>
          <w:szCs w:val="28"/>
        </w:rPr>
        <w:t>%.</w:t>
      </w:r>
    </w:p>
    <w:p w:rsidR="000E5082" w:rsidRDefault="000E5082" w:rsidP="001C258D">
      <w:pPr>
        <w:pStyle w:val="af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84F" w:rsidRPr="0045646A" w:rsidRDefault="006E484F" w:rsidP="001C258D">
      <w:pPr>
        <w:pStyle w:val="af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FC3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Показатель 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ab/>
      </w:r>
    </w:p>
    <w:p w:rsidR="006B6363" w:rsidRPr="005C67F3" w:rsidRDefault="006B6363" w:rsidP="006B636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F3">
        <w:rPr>
          <w:rFonts w:ascii="Times New Roman" w:hAnsi="Times New Roman" w:cs="Times New Roman"/>
          <w:sz w:val="28"/>
          <w:szCs w:val="28"/>
        </w:rPr>
        <w:t>Доля обучающихся в муниципальных общеобразовательных учреждениях, занимающихся во 2 смену, в 2017 году увеличилась по сравнению с 20</w:t>
      </w:r>
      <w:r w:rsidR="005C67F3" w:rsidRPr="005C67F3">
        <w:rPr>
          <w:rFonts w:ascii="Times New Roman" w:hAnsi="Times New Roman" w:cs="Times New Roman"/>
          <w:sz w:val="28"/>
          <w:szCs w:val="28"/>
        </w:rPr>
        <w:t>16 годом на 0,31</w:t>
      </w:r>
      <w:r w:rsidRPr="005C67F3">
        <w:rPr>
          <w:rFonts w:ascii="Times New Roman" w:hAnsi="Times New Roman" w:cs="Times New Roman"/>
          <w:sz w:val="28"/>
          <w:szCs w:val="28"/>
        </w:rPr>
        <w:t>% и составила 12,91%. Ухудшение данного показателя связано с ростом численности обучающихся общеобразовательных учреждений.</w:t>
      </w:r>
    </w:p>
    <w:p w:rsidR="00D87FC3" w:rsidRPr="006B6363" w:rsidRDefault="006B6363" w:rsidP="006B6363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5C67F3">
        <w:rPr>
          <w:rFonts w:ascii="Times New Roman" w:hAnsi="Times New Roman" w:cs="Times New Roman"/>
          <w:sz w:val="28"/>
          <w:szCs w:val="28"/>
        </w:rPr>
        <w:t>В прогнозируемом периоде ожидается рост данного показателя</w:t>
      </w:r>
      <w:r w:rsidR="009022E2">
        <w:rPr>
          <w:rFonts w:ascii="Times New Roman" w:hAnsi="Times New Roman" w:cs="Times New Roman"/>
          <w:sz w:val="28"/>
          <w:szCs w:val="28"/>
        </w:rPr>
        <w:t xml:space="preserve"> до 14,6%</w:t>
      </w:r>
      <w:r w:rsidRPr="005C67F3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9022E2">
        <w:rPr>
          <w:rFonts w:ascii="Times New Roman" w:hAnsi="Times New Roman" w:cs="Times New Roman"/>
          <w:sz w:val="28"/>
          <w:szCs w:val="28"/>
        </w:rPr>
        <w:t xml:space="preserve">дальнейшим </w:t>
      </w:r>
      <w:r w:rsidRPr="005C67F3">
        <w:rPr>
          <w:rFonts w:ascii="Times New Roman" w:hAnsi="Times New Roman" w:cs="Times New Roman"/>
          <w:sz w:val="28"/>
          <w:szCs w:val="28"/>
        </w:rPr>
        <w:t>увеличением численности обучающихся общеобразовательных учреждений.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7FC3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Показатель 18. 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</w:p>
    <w:p w:rsidR="006B6363" w:rsidRPr="005C67F3" w:rsidRDefault="006B6363" w:rsidP="000E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7F3">
        <w:rPr>
          <w:rFonts w:ascii="Times New Roman" w:hAnsi="Times New Roman" w:cs="Times New Roman"/>
          <w:sz w:val="28"/>
          <w:szCs w:val="28"/>
          <w:lang w:eastAsia="ru-RU"/>
        </w:rPr>
        <w:t>Расходы бюджета муниципального образования на общее образование в расчете на одного обучающегося в муниципальных общеобразовательных организациях в 2017 году увеличились по сравнению с 2016 годом на 4,60 тыс. рублей и составили 74,24 тыс. рублей.</w:t>
      </w:r>
    </w:p>
    <w:p w:rsidR="006B6363" w:rsidRPr="005C67F3" w:rsidRDefault="006B6363" w:rsidP="000E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7F3">
        <w:rPr>
          <w:rFonts w:ascii="Times New Roman" w:hAnsi="Times New Roman" w:cs="Times New Roman"/>
          <w:sz w:val="28"/>
          <w:szCs w:val="28"/>
          <w:lang w:eastAsia="ru-RU"/>
        </w:rPr>
        <w:t xml:space="preserve"> Рост данного показателя в 2017 году до 74,24 тыс. рублей связан с дополнительным выделением целевых субсидий и средств резервных фондов Правительства Ростовской области и Администрации Белокалитвинского района.           </w:t>
      </w:r>
    </w:p>
    <w:p w:rsidR="00D87FC3" w:rsidRPr="006B6363" w:rsidRDefault="006B6363" w:rsidP="006B6363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5C67F3">
        <w:rPr>
          <w:rFonts w:ascii="Times New Roman" w:hAnsi="Times New Roman" w:cs="Times New Roman"/>
          <w:sz w:val="28"/>
          <w:szCs w:val="28"/>
          <w:lang w:eastAsia="ru-RU"/>
        </w:rPr>
        <w:t>Увеличение данного показателя в 2018 году до 76,44 тыс. рублей связано с дополнительным выделением целевых субсидий. В 2019-2020 годах прогнозируется уменьшение данного показателя до 75,10 тыс. рублей и 75,70 тыс. рублей соответственно в связи с опережающим ростом численности обучающихся по сравнению с увеличением расходов бюджетов всех уровней на общее образование.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D87FC3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Показатель 19.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 </w:t>
      </w:r>
    </w:p>
    <w:p w:rsidR="006E2775" w:rsidRPr="006E2775" w:rsidRDefault="006E2775" w:rsidP="00F91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_DdeLink__12011_300864778"/>
      <w:bookmarkEnd w:id="0"/>
      <w:r w:rsidRPr="006E2775">
        <w:rPr>
          <w:rFonts w:ascii="Times New Roman" w:hAnsi="Times New Roman" w:cs="Times New Roman"/>
          <w:color w:val="auto"/>
          <w:sz w:val="28"/>
          <w:szCs w:val="28"/>
        </w:rPr>
        <w:t xml:space="preserve">В 2017 году доля детей в возрасте 5-18 лет, получающих услуги по дополнительному образованию в образовательных организациях дополнительного </w:t>
      </w:r>
      <w:r w:rsidR="009022E2">
        <w:rPr>
          <w:rFonts w:ascii="Times New Roman" w:hAnsi="Times New Roman" w:cs="Times New Roman"/>
          <w:color w:val="auto"/>
          <w:sz w:val="28"/>
          <w:szCs w:val="28"/>
        </w:rPr>
        <w:t>образования, увеличила</w:t>
      </w:r>
      <w:r w:rsidR="00F91E32">
        <w:rPr>
          <w:rFonts w:ascii="Times New Roman" w:hAnsi="Times New Roman" w:cs="Times New Roman"/>
          <w:color w:val="auto"/>
          <w:sz w:val="28"/>
          <w:szCs w:val="28"/>
        </w:rPr>
        <w:t>сь на 3,04</w:t>
      </w:r>
      <w:r w:rsidR="009022E2">
        <w:rPr>
          <w:rFonts w:ascii="Times New Roman" w:hAnsi="Times New Roman" w:cs="Times New Roman"/>
          <w:color w:val="auto"/>
          <w:sz w:val="28"/>
          <w:szCs w:val="28"/>
        </w:rPr>
        <w:t xml:space="preserve"> % и составила</w:t>
      </w:r>
      <w:r w:rsidRPr="006E2775">
        <w:rPr>
          <w:rFonts w:ascii="Times New Roman" w:hAnsi="Times New Roman" w:cs="Times New Roman"/>
          <w:color w:val="auto"/>
          <w:sz w:val="28"/>
          <w:szCs w:val="28"/>
        </w:rPr>
        <w:t xml:space="preserve"> 8</w:t>
      </w:r>
      <w:r w:rsidR="00F91E32">
        <w:rPr>
          <w:rFonts w:ascii="Times New Roman" w:hAnsi="Times New Roman" w:cs="Times New Roman"/>
          <w:color w:val="auto"/>
          <w:sz w:val="28"/>
          <w:szCs w:val="28"/>
        </w:rPr>
        <w:t>3,21</w:t>
      </w:r>
      <w:r w:rsidRPr="006E2775">
        <w:rPr>
          <w:rFonts w:ascii="Times New Roman" w:hAnsi="Times New Roman" w:cs="Times New Roman"/>
          <w:color w:val="auto"/>
          <w:sz w:val="28"/>
          <w:szCs w:val="28"/>
        </w:rPr>
        <w:t xml:space="preserve"> %. Рост данного показателя связан с введением дополнительных ставок педагогов дополнительного образования. </w:t>
      </w:r>
    </w:p>
    <w:p w:rsidR="006E2775" w:rsidRDefault="006E2775" w:rsidP="006E2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775">
        <w:rPr>
          <w:rFonts w:ascii="Times New Roman" w:hAnsi="Times New Roman" w:cs="Times New Roman"/>
          <w:color w:val="auto"/>
          <w:sz w:val="28"/>
          <w:szCs w:val="28"/>
        </w:rPr>
        <w:t xml:space="preserve">В 2018-2020 годах планируется рост </w:t>
      </w:r>
      <w:r w:rsidR="00646A6C">
        <w:rPr>
          <w:rFonts w:ascii="Times New Roman" w:hAnsi="Times New Roman" w:cs="Times New Roman"/>
          <w:color w:val="auto"/>
          <w:sz w:val="28"/>
          <w:szCs w:val="28"/>
        </w:rPr>
        <w:t>значения показателя до</w:t>
      </w:r>
      <w:r w:rsidRPr="006E27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1E32">
        <w:rPr>
          <w:rFonts w:ascii="Times New Roman" w:hAnsi="Times New Roman" w:cs="Times New Roman"/>
          <w:color w:val="auto"/>
          <w:sz w:val="28"/>
          <w:szCs w:val="28"/>
        </w:rPr>
        <w:t>84,3</w:t>
      </w:r>
      <w:r w:rsidRPr="006E2775">
        <w:rPr>
          <w:rFonts w:ascii="Times New Roman" w:hAnsi="Times New Roman" w:cs="Times New Roman"/>
          <w:color w:val="auto"/>
          <w:sz w:val="28"/>
          <w:szCs w:val="28"/>
        </w:rPr>
        <w:t>%.</w:t>
      </w:r>
      <w:r w:rsidR="00260209">
        <w:rPr>
          <w:rFonts w:ascii="Times New Roman" w:hAnsi="Times New Roman" w:cs="Times New Roman"/>
          <w:color w:val="auto"/>
          <w:sz w:val="28"/>
          <w:szCs w:val="28"/>
        </w:rPr>
        <w:t xml:space="preserve"> Рост показателя предполагается за счет увеличения посещаемости кружков и секций детьми в возрасте 5-18 лет в МБУ</w:t>
      </w:r>
      <w:r w:rsidR="00BA0931">
        <w:rPr>
          <w:rFonts w:ascii="Times New Roman" w:hAnsi="Times New Roman" w:cs="Times New Roman"/>
          <w:color w:val="auto"/>
          <w:sz w:val="28"/>
          <w:szCs w:val="28"/>
        </w:rPr>
        <w:t>К «</w:t>
      </w:r>
      <w:r w:rsidR="00BA0931" w:rsidRPr="00BA0931">
        <w:rPr>
          <w:rFonts w:ascii="Times New Roman" w:hAnsi="Times New Roman" w:cs="Times New Roman"/>
          <w:color w:val="auto"/>
          <w:sz w:val="28"/>
          <w:szCs w:val="28"/>
        </w:rPr>
        <w:t>Центр Культурного Развития</w:t>
      </w:r>
      <w:r w:rsidR="00BA0931">
        <w:rPr>
          <w:rFonts w:ascii="Times New Roman" w:hAnsi="Times New Roman" w:cs="Times New Roman"/>
          <w:color w:val="auto"/>
          <w:sz w:val="28"/>
          <w:szCs w:val="28"/>
        </w:rPr>
        <w:t>», открывшегося в 2017 году.</w:t>
      </w:r>
    </w:p>
    <w:p w:rsidR="00BA0931" w:rsidRDefault="00BA0931" w:rsidP="006E27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0931" w:rsidRDefault="00BA09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0931" w:rsidRDefault="00BA09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0931" w:rsidRDefault="00BA09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0931" w:rsidRDefault="00BA09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IV. Культура</w:t>
      </w:r>
    </w:p>
    <w:p w:rsidR="00D87FC3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20. 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</w:t>
      </w:r>
    </w:p>
    <w:p w:rsidR="00FB77E2" w:rsidRDefault="00FB77E2" w:rsidP="00FB7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Уровень фактической обеспеченности культурно-досуговыми учреждениями от нормативной потребности в 2016 году составил 97,0%, в 2017 году – 90%. Снижение показателя произошло в связи с изменением норм фактической обеспеченности учреждениями культуры. Расчеты производились с учетом данных статистического отчета формы 7-НК «Сведения об организациях культурно-досугового типа» за 2017 год в </w:t>
      </w:r>
      <w:r w:rsidRPr="00CC2E0B">
        <w:rPr>
          <w:rFonts w:ascii="Times New Roman" w:hAnsi="Times New Roman"/>
          <w:sz w:val="28"/>
          <w:szCs w:val="24"/>
          <w:lang w:eastAsia="ru-RU"/>
        </w:rPr>
        <w:t>соответствии с п</w:t>
      </w:r>
      <w:r>
        <w:rPr>
          <w:rFonts w:ascii="Times New Roman" w:hAnsi="Times New Roman"/>
          <w:sz w:val="28"/>
          <w:szCs w:val="24"/>
          <w:lang w:eastAsia="ru-RU"/>
        </w:rPr>
        <w:t xml:space="preserve">унктом </w:t>
      </w:r>
      <w:r w:rsidRPr="00CC2E0B">
        <w:rPr>
          <w:rFonts w:ascii="Times New Roman" w:hAnsi="Times New Roman"/>
          <w:sz w:val="28"/>
          <w:szCs w:val="24"/>
          <w:lang w:eastAsia="ru-RU"/>
        </w:rPr>
        <w:t>2 распоряжения Министерства культуры Российской Федерации от 02.08.2017 №Р-965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</w:r>
      <w:r>
        <w:rPr>
          <w:rFonts w:ascii="Times New Roman" w:hAnsi="Times New Roman"/>
          <w:sz w:val="28"/>
          <w:szCs w:val="24"/>
          <w:lang w:eastAsia="ru-RU"/>
        </w:rPr>
        <w:t xml:space="preserve"> и</w:t>
      </w:r>
      <w:r w:rsidRPr="00CC2E0B">
        <w:rPr>
          <w:rFonts w:ascii="Times New Roman" w:hAnsi="Times New Roman"/>
          <w:sz w:val="28"/>
          <w:szCs w:val="24"/>
          <w:lang w:eastAsia="ru-RU"/>
        </w:rPr>
        <w:t xml:space="preserve"> утвержден</w:t>
      </w:r>
      <w:r>
        <w:rPr>
          <w:rFonts w:ascii="Times New Roman" w:hAnsi="Times New Roman"/>
          <w:sz w:val="28"/>
          <w:szCs w:val="24"/>
          <w:lang w:eastAsia="ru-RU"/>
        </w:rPr>
        <w:t>ным</w:t>
      </w:r>
      <w:r w:rsidRPr="00CC2E0B">
        <w:rPr>
          <w:rFonts w:ascii="Times New Roman" w:hAnsi="Times New Roman"/>
          <w:sz w:val="28"/>
          <w:szCs w:val="24"/>
          <w:lang w:eastAsia="ru-RU"/>
        </w:rPr>
        <w:t xml:space="preserve"> приказ</w:t>
      </w:r>
      <w:r>
        <w:rPr>
          <w:rFonts w:ascii="Times New Roman" w:hAnsi="Times New Roman"/>
          <w:sz w:val="28"/>
          <w:szCs w:val="24"/>
          <w:lang w:eastAsia="ru-RU"/>
        </w:rPr>
        <w:t>ом</w:t>
      </w:r>
      <w:r w:rsidRPr="00CC2E0B">
        <w:rPr>
          <w:rFonts w:ascii="Times New Roman" w:hAnsi="Times New Roman"/>
          <w:sz w:val="28"/>
          <w:szCs w:val="24"/>
          <w:lang w:eastAsia="ru-RU"/>
        </w:rPr>
        <w:t xml:space="preserve"> министерства культуры Ростовской области от 19.12.2017 №23/01-01/728 «Об утверждении методических рекомендаций по развитию сети организаций культуры и обеспеченности населения Ростовской области услугами организаций культуры»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2018 году планируется сохранение данного показателя в связи с тем, что количество учреждений культурно-досугового типа остается неизменным. В плановом периоде планируется увеличение данного показателя в связи </w:t>
      </w:r>
      <w:r w:rsidR="00646A6C">
        <w:rPr>
          <w:rFonts w:ascii="Times New Roman" w:hAnsi="Times New Roman"/>
          <w:sz w:val="28"/>
          <w:szCs w:val="28"/>
          <w:shd w:val="clear" w:color="auto" w:fill="FFFFFF"/>
        </w:rPr>
        <w:t>естественной убылью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населения.</w:t>
      </w:r>
    </w:p>
    <w:p w:rsidR="00FB77E2" w:rsidRDefault="00FB77E2" w:rsidP="00FB7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Библиотеками район был обеспечен в 2016 году на 125,3% от нормативной потребности. В 2017 году – на 108,0%. Снижение показателя произошло в связи с объединением библиотек</w:t>
      </w:r>
      <w:r w:rsidR="00646A6C">
        <w:rPr>
          <w:rFonts w:ascii="Times New Roman" w:hAnsi="Times New Roman"/>
          <w:sz w:val="28"/>
          <w:szCs w:val="28"/>
          <w:shd w:val="clear" w:color="auto" w:fill="FFFFFF"/>
        </w:rPr>
        <w:t xml:space="preserve"> в Горняцком сельском поселении, Синегорском сельском поселении, Шолоховском городском поселении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целью оптимизации, повышения эффективности и качества услуг в сфере библиотечного обслуживания нас</w:t>
      </w:r>
      <w:r w:rsidR="0036126B">
        <w:rPr>
          <w:rFonts w:ascii="Times New Roman" w:hAnsi="Times New Roman"/>
          <w:sz w:val="28"/>
          <w:szCs w:val="28"/>
          <w:shd w:val="clear" w:color="auto" w:fill="FFFFFF"/>
        </w:rPr>
        <w:t xml:space="preserve">еления Белокалитвинского района.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плановом периоде ожидается сохранение </w:t>
      </w:r>
      <w:r w:rsidR="0036126B">
        <w:rPr>
          <w:rFonts w:ascii="Times New Roman" w:hAnsi="Times New Roman"/>
          <w:sz w:val="28"/>
          <w:szCs w:val="28"/>
          <w:shd w:val="clear" w:color="auto" w:fill="FFFFFF"/>
        </w:rPr>
        <w:t>достигнутого значения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показателя.</w:t>
      </w:r>
    </w:p>
    <w:p w:rsidR="00FB77E2" w:rsidRDefault="00FB77E2" w:rsidP="00FB77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Уровень фактической обеспеченности парками культуры и отдыха в Белокалитвинском районе составляет 100% от нормативной потребности и сохранится на планируемый период.</w:t>
      </w:r>
    </w:p>
    <w:p w:rsidR="00D87FC3" w:rsidRDefault="00D87FC3" w:rsidP="00DD6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1569A5" w:rsidRDefault="001569A5" w:rsidP="00711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Доля муниципальных учреждений культуры, здания которых требуют капитального ремонта, в 2016 году составил</w:t>
      </w:r>
      <w:r w:rsidR="0036126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11D97">
        <w:rPr>
          <w:rFonts w:ascii="Times New Roman" w:hAnsi="Times New Roman"/>
          <w:sz w:val="28"/>
          <w:szCs w:val="28"/>
          <w:shd w:val="clear" w:color="auto" w:fill="FFFFFF"/>
        </w:rPr>
        <w:t xml:space="preserve"> 2,44%, в 2017 году увеличилась до 4,08%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1D97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</w:t>
      </w:r>
      <w:r w:rsidR="00954844">
        <w:rPr>
          <w:rFonts w:ascii="Times New Roman" w:hAnsi="Times New Roman"/>
          <w:sz w:val="28"/>
          <w:szCs w:val="28"/>
          <w:shd w:val="clear" w:color="auto" w:fill="FFFFFF"/>
        </w:rPr>
        <w:t>объединение</w:t>
      </w:r>
      <w:r w:rsidR="00711D97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954844">
        <w:rPr>
          <w:rFonts w:ascii="Times New Roman" w:hAnsi="Times New Roman"/>
          <w:sz w:val="28"/>
          <w:szCs w:val="28"/>
          <w:shd w:val="clear" w:color="auto" w:fill="FFFFFF"/>
        </w:rPr>
        <w:t xml:space="preserve"> библиотек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перевод</w:t>
      </w:r>
      <w:r w:rsidR="00711D97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части библиотек в здания сельских домов культуры, в результате </w:t>
      </w:r>
      <w:r w:rsidR="00711D97">
        <w:rPr>
          <w:rFonts w:ascii="Times New Roman" w:hAnsi="Times New Roman"/>
          <w:sz w:val="28"/>
          <w:szCs w:val="28"/>
          <w:shd w:val="clear" w:color="auto" w:fill="FFFFFF"/>
        </w:rPr>
        <w:t xml:space="preserve">чего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общее количество зданий муниципальных учреждений культуры составило 49, два из которых требуют капитального ремонта. В 2018 году</w:t>
      </w:r>
      <w:r w:rsidR="009401BC">
        <w:rPr>
          <w:rFonts w:ascii="Times New Roman" w:hAnsi="Times New Roman"/>
          <w:sz w:val="28"/>
          <w:szCs w:val="28"/>
          <w:shd w:val="clear" w:color="auto" w:fill="FFFFFF"/>
        </w:rPr>
        <w:t xml:space="preserve"> значение данного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показател</w:t>
      </w:r>
      <w:r w:rsidR="009401BC"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сохранится. В плановом периоде </w:t>
      </w:r>
      <w:r w:rsidR="009401BC">
        <w:rPr>
          <w:rFonts w:ascii="Times New Roman" w:hAnsi="Times New Roman"/>
          <w:sz w:val="28"/>
          <w:szCs w:val="28"/>
          <w:shd w:val="clear" w:color="auto" w:fill="FFFFFF"/>
        </w:rPr>
        <w:t>прогноз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ируется снижение показателя в связи с планируемым проведением капитальных ремонтов объектов, имеющих </w:t>
      </w:r>
      <w:r w:rsidR="009401BC">
        <w:rPr>
          <w:rFonts w:ascii="Times New Roman" w:hAnsi="Times New Roman"/>
          <w:sz w:val="28"/>
          <w:szCs w:val="28"/>
          <w:shd w:val="clear" w:color="auto" w:fill="FFFFFF"/>
        </w:rPr>
        <w:t>проектно-сметную документацию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данного вида работ (письмо министра культуры Ростовской области В.Н. Бабина от 06.04.2018 № 23/01-10/1863 о возможности реализации строительных работ в 2019-2021 годах).</w:t>
      </w:r>
    </w:p>
    <w:p w:rsidR="00DD687B" w:rsidRDefault="00DD687B" w:rsidP="00DD6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:rsidR="00CC6B0C" w:rsidRDefault="00940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объектов культурного наследия, находящихся в муниципальной собственности и требующих консервации или реставрации в 2016 году составила 25%. </w:t>
      </w:r>
      <w:r w:rsidR="00CC6B0C">
        <w:rPr>
          <w:rFonts w:ascii="Times New Roman" w:hAnsi="Times New Roman"/>
          <w:sz w:val="28"/>
          <w:szCs w:val="28"/>
          <w:shd w:val="clear" w:color="auto" w:fill="FFFFFF"/>
        </w:rPr>
        <w:t xml:space="preserve">В 2017 году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значение данного показателя не изменилось</w:t>
      </w:r>
      <w:r w:rsidR="00CC6B0C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D87FC3" w:rsidRDefault="00CC6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плановом период</w:t>
      </w:r>
      <w:r w:rsidR="009401BC">
        <w:rPr>
          <w:rFonts w:ascii="Times New Roman" w:hAnsi="Times New Roman"/>
          <w:sz w:val="28"/>
          <w:szCs w:val="28"/>
          <w:shd w:val="clear" w:color="auto" w:fill="FFFFFF"/>
        </w:rPr>
        <w:t>е ожида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ется снижение данного показателя до 0% в связи с планируемым проведением ремонтных работ здания Купеческого Собрания.</w:t>
      </w:r>
    </w:p>
    <w:p w:rsidR="00CC6B0C" w:rsidRDefault="00CC6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V. Физическая культура и спорт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Показатель 23. Доля населения, систематически занимающегося физической культурой и спортом. </w:t>
      </w:r>
    </w:p>
    <w:p w:rsidR="007A5912" w:rsidRPr="006E2775" w:rsidRDefault="007A5912" w:rsidP="007A5912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Доля населения, систематически занимающегося физической культурой и спортом, по отношению к 2016 году увеличилась на 3,83 процентных пункта и составила в 2017 году 38,70 % от общего числа жителей. </w:t>
      </w:r>
      <w:r w:rsidRPr="006E277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Увеличению доли занимающихся физической культурой и спортом способствовала систематическая работа, направленная на пропаганду здорового образа жизни, популяризацию массового спорта среди всех возрастных категорий граждан. На территории района </w:t>
      </w:r>
      <w:r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организована работа по поэтапному внедрению комплекса ГТО: создан муниципальный центр тестирования, введены три штатные </w:t>
      </w:r>
      <w:r w:rsidR="000E5082"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единицы центра</w:t>
      </w:r>
      <w:r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организовано обучение 50 </w:t>
      </w:r>
      <w:r w:rsidR="000E5082"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специалистов по</w:t>
      </w:r>
      <w:r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программе «Судейство комплекса ГТО», организовано присвоение квалификационных категорий спортивным судьям, проведена агитационная деятельность по продвижению комплекса ГТО. В 2017 году в выполнении нормативных испытаний (тестов) приняло участие </w:t>
      </w:r>
      <w:r w:rsidRPr="006E27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1759 человек.</w:t>
      </w:r>
    </w:p>
    <w:p w:rsidR="007A5912" w:rsidRPr="006E2775" w:rsidRDefault="007A5912" w:rsidP="007A5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прогнозируемом периоде на территории района планиру</w:t>
      </w:r>
      <w:r w:rsidR="009401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ю</w:t>
      </w:r>
      <w:r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тся следующ</w:t>
      </w:r>
      <w:r w:rsidR="009401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</w:t>
      </w:r>
      <w:r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</w:t>
      </w:r>
      <w:r w:rsidR="009401B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мероприятия</w:t>
      </w:r>
      <w:r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7A5912" w:rsidRPr="006E2775" w:rsidRDefault="007A5912" w:rsidP="007A5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проведение капитального ремонта здания Дворца спорта </w:t>
      </w:r>
      <w:r w:rsidR="000C6C3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</w:t>
      </w:r>
      <w:r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ГБУ РО «СШОР № 25»</w:t>
      </w:r>
      <w:r w:rsidR="000C6C3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</w:t>
      </w:r>
      <w:r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7A5912" w:rsidRPr="006E2775" w:rsidRDefault="007A5912" w:rsidP="007A5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строительство многофункционального спортивного зала на базе МБУ ДО ДЮСШ № 2;</w:t>
      </w:r>
    </w:p>
    <w:p w:rsidR="00D87FC3" w:rsidRPr="000E5082" w:rsidRDefault="007A5912" w:rsidP="000E508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E277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строительство многофункционального спортивного зала для борьбы дзюдо на базе МБУ ДО ДЮСШ № 1.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23.1. Доля обучающихся, систематически занимающихся физической культурой и спортом, в общей численности обучающихся.</w:t>
      </w: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Доля обучающихся, систематически занимающихся физической культурой и спортом, в общей численности обучающихся в 201</w:t>
      </w:r>
      <w:r w:rsidR="007345B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составила </w:t>
      </w:r>
      <w:r w:rsidR="007345B6">
        <w:rPr>
          <w:rFonts w:ascii="Times New Roman" w:hAnsi="Times New Roman" w:cs="Times New Roman"/>
          <w:sz w:val="28"/>
          <w:szCs w:val="28"/>
          <w:shd w:val="clear" w:color="auto" w:fill="FFFFFF"/>
        </w:rPr>
        <w:t>77,95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%, в 201</w:t>
      </w:r>
      <w:r w:rsidR="007345B6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7345B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45B6">
        <w:rPr>
          <w:rFonts w:ascii="Times New Roman" w:hAnsi="Times New Roman" w:cs="Times New Roman"/>
          <w:sz w:val="28"/>
          <w:szCs w:val="28"/>
          <w:shd w:val="clear" w:color="auto" w:fill="FFFFFF"/>
        </w:rPr>
        <w:t>84,30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34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Увеличение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данного показателя на </w:t>
      </w:r>
      <w:r w:rsidR="00734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6,35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процентного пункта по сравнению с 201</w:t>
      </w:r>
      <w:r w:rsidR="007345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годом связано с улучшением спортивной инфраструктуры образовательных организаций и реализацией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внедрению Всероссийского спортивного комплекса «Готов к труду и обороне».</w:t>
      </w:r>
    </w:p>
    <w:p w:rsidR="00D87FC3" w:rsidRDefault="00734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00"/>
        </w:rPr>
      </w:pPr>
      <w:r w:rsidRPr="006E2775">
        <w:rPr>
          <w:rFonts w:ascii="Times New Roman" w:hAnsi="Times New Roman"/>
          <w:sz w:val="28"/>
          <w:szCs w:val="28"/>
          <w:shd w:val="clear" w:color="auto" w:fill="FFFFFF"/>
        </w:rPr>
        <w:t>В прогнозируем</w:t>
      </w:r>
      <w:r w:rsidR="006E2775" w:rsidRPr="006E2775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6E2775">
        <w:rPr>
          <w:rFonts w:ascii="Times New Roman" w:hAnsi="Times New Roman"/>
          <w:sz w:val="28"/>
          <w:szCs w:val="28"/>
          <w:shd w:val="clear" w:color="auto" w:fill="FFFFFF"/>
        </w:rPr>
        <w:t xml:space="preserve"> период</w:t>
      </w:r>
      <w:r w:rsidR="006E2775" w:rsidRPr="006E2775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E2775">
        <w:rPr>
          <w:rFonts w:ascii="Times New Roman" w:hAnsi="Times New Roman"/>
          <w:sz w:val="28"/>
          <w:szCs w:val="28"/>
          <w:shd w:val="clear" w:color="auto" w:fill="FFFFFF"/>
        </w:rPr>
        <w:t xml:space="preserve"> 2018-2020 годов этот показатель планируется с тенденцией роста на уровне 84,70%, 84,80% и 85,00%</w:t>
      </w:r>
      <w:r w:rsidR="006E2775" w:rsidRPr="006E2775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соответственно</w:t>
      </w:r>
      <w:r w:rsidRPr="006E27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345B6" w:rsidRDefault="00734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VI. Жилищное строительство и обеспечение граждан жильем</w:t>
      </w:r>
    </w:p>
    <w:p w:rsidR="00D87FC3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Общая площадь жилых помещений, приходящаяся в среднем на одного жителя, в том числе введенная в действие за один год.</w:t>
      </w:r>
    </w:p>
    <w:p w:rsidR="00726D00" w:rsidRPr="006E2775" w:rsidRDefault="00FA31A8" w:rsidP="00726D0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1A8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726D00" w:rsidRPr="00726D00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726D00" w:rsidRPr="006E2775">
        <w:rPr>
          <w:rFonts w:ascii="Times New Roman" w:hAnsi="Times New Roman" w:cs="Times New Roman"/>
          <w:color w:val="auto"/>
          <w:sz w:val="28"/>
          <w:szCs w:val="28"/>
        </w:rPr>
        <w:t xml:space="preserve">Фактическая общая площадь жилых помещений на 2017 год составила 23,59 кв. метров на одного жителя, или на 1,03 кв. метров меньше к уровню 2016 года. Уменьшение показателей к уровню 2016 года </w:t>
      </w:r>
      <w:r w:rsidR="00726D00" w:rsidRPr="006E277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обусловлено </w:t>
      </w:r>
      <w:r w:rsidR="00726D00" w:rsidRPr="006E2775">
        <w:rPr>
          <w:rFonts w:ascii="Times New Roman" w:hAnsi="Times New Roman" w:cs="Times New Roman"/>
          <w:color w:val="auto"/>
          <w:sz w:val="28"/>
          <w:szCs w:val="28"/>
        </w:rPr>
        <w:t>сложившейся экономической ситуацией и окончанием в 2017 году областной адресной программы «Переселени</w:t>
      </w:r>
      <w:r w:rsidR="000C6C3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26D00" w:rsidRPr="006E2775">
        <w:rPr>
          <w:rFonts w:ascii="Times New Roman" w:hAnsi="Times New Roman" w:cs="Times New Roman"/>
          <w:color w:val="auto"/>
          <w:sz w:val="28"/>
          <w:szCs w:val="28"/>
        </w:rPr>
        <w:t xml:space="preserve"> граждан из аварийного жилищного фонда, в том числе с учетом необходимости развития малоэтажного жилищного строительства в 2013-2017 годах» и муниципальной программы Белокалитвинского района «Обеспечение доступным и комфортабельным жильем населения Белокалитвинского района».</w:t>
      </w:r>
    </w:p>
    <w:p w:rsidR="00726D00" w:rsidRPr="006E2775" w:rsidRDefault="00726D00" w:rsidP="00726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775">
        <w:rPr>
          <w:rFonts w:ascii="Times New Roman" w:hAnsi="Times New Roman" w:cs="Times New Roman"/>
          <w:color w:val="auto"/>
          <w:sz w:val="28"/>
          <w:szCs w:val="28"/>
        </w:rPr>
        <w:t xml:space="preserve">В 2018 году планируется увеличение показателя до 24,0 кв. метров на одного жителя. В 2019-2020 годах прогнозируется увеличение данного показателя до 24,1 и 24,3 кв. метров соответственно, в связи с увеличением темпов строительства и </w:t>
      </w:r>
      <w:r w:rsidRPr="006E2775">
        <w:rPr>
          <w:rFonts w:ascii="Times New Roman" w:hAnsi="Times New Roman" w:cs="Times New Roman"/>
          <w:bCs/>
          <w:color w:val="auto"/>
          <w:sz w:val="28"/>
          <w:szCs w:val="28"/>
        </w:rPr>
        <w:t>предполагаемым строительством многоквартирных жилых домов.</w:t>
      </w:r>
    </w:p>
    <w:p w:rsidR="00726D00" w:rsidRPr="00726D00" w:rsidRDefault="00726D00" w:rsidP="00726D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2775">
        <w:rPr>
          <w:rFonts w:ascii="Times New Roman" w:hAnsi="Times New Roman" w:cs="Times New Roman"/>
          <w:color w:val="auto"/>
          <w:sz w:val="28"/>
          <w:szCs w:val="28"/>
        </w:rPr>
        <w:t>Значение показателя общей площади жилых помещений, приходящейся в среднем на одного жителя, введенной в действие за один год в 2018-2020 годах незначительно увеличится и составит 0,20 - 0,21 кв. метров, т.к. планируются</w:t>
      </w:r>
      <w:r w:rsidRPr="006E2775">
        <w:rPr>
          <w:rFonts w:ascii="Times New Roman" w:hAnsi="Times New Roman" w:cs="Times New Roman"/>
          <w:color w:val="000000"/>
          <w:sz w:val="28"/>
          <w:szCs w:val="28"/>
        </w:rPr>
        <w:t xml:space="preserve"> к сдаче в эксплуатацию </w:t>
      </w:r>
      <w:r w:rsidRPr="006E277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многоквартирные жилые дома </w:t>
      </w:r>
      <w:r w:rsidRPr="006E2775">
        <w:rPr>
          <w:rFonts w:ascii="Times New Roman" w:hAnsi="Times New Roman" w:cs="Times New Roman"/>
          <w:color w:val="000000"/>
          <w:sz w:val="28"/>
          <w:szCs w:val="28"/>
        </w:rPr>
        <w:t>в г. Белая Калитва по ул. Светлая</w:t>
      </w:r>
      <w:r w:rsidRPr="006E277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26D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87FC3" w:rsidRDefault="00D87FC3" w:rsidP="00726D00">
      <w:pPr>
        <w:spacing w:after="0" w:line="240" w:lineRule="auto"/>
        <w:jc w:val="both"/>
        <w:rPr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Площадь земельных участков, предоставленных для строительства в расчете на 10 тыс. человек населения,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 w:rsidR="00FA31A8" w:rsidRPr="006E2775" w:rsidRDefault="00FA31A8" w:rsidP="00FA3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480556651"/>
      <w:bookmarkEnd w:id="1"/>
      <w:r w:rsidRPr="006E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Фактическая площадь земельных участков, предоставленных для строительства, на 2017 год составила 2,8 га, в том числе для жилищного строительства 2,08 га. </w:t>
      </w:r>
      <w:r w:rsidRPr="006E2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Увеличение показателя к уровню 2016 г. достигнуто за счет увеличения числа бесплатно предоставленных земельных участков гражданам, имеющим 3-х и более детей.</w:t>
      </w:r>
      <w:r w:rsidRPr="006E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31A8" w:rsidRPr="00FA31A8" w:rsidRDefault="00FA31A8" w:rsidP="00FA3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прогнозируемом периоде </w:t>
      </w:r>
      <w:r w:rsidR="000C6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положительная динамика</w:t>
      </w:r>
      <w:r w:rsidRPr="006E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сохранится за счет</w:t>
      </w:r>
      <w:r w:rsidRPr="006E2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реализации проектов планировки и межевания территории малоэтаж</w:t>
      </w:r>
      <w:r w:rsidR="000C6C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ной жилой застройки кварталов №</w:t>
      </w:r>
      <w:r w:rsidRPr="006E2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3</w:t>
      </w:r>
      <w:r w:rsidR="000C6C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,4</w:t>
      </w:r>
      <w:r w:rsidRPr="006E2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г. Белая Калитва </w:t>
      </w:r>
      <w:r w:rsidRPr="006E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6E2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бесплатного предоставления земельных участков гражданам, имеющим 3-х и более детей</w:t>
      </w:r>
      <w:r w:rsidRPr="006E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7FC3" w:rsidRDefault="00D87FC3" w:rsidP="000E5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лет, иных объектов капитального строительства - в течение 5 лет.</w:t>
      </w:r>
    </w:p>
    <w:p w:rsidR="00FA31A8" w:rsidRPr="006E2775" w:rsidRDefault="00FA31A8" w:rsidP="00FA3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2016 – 2017 годах значение показателя «площадь земельных участков, предоставленных для строительства, в отношении которых с даты принятия решения о предоставлении земельного участка не было получено разрешение на ввод в эксплуатацию по объектам жилищного строительства в течение 3 лет» равно «нулю» </w:t>
      </w:r>
      <w:r w:rsidRPr="006E27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в связи с тем, что в отчетном периоде сокращены сроки строительства и ввода объектов жилищного строительства в эксплуатацию, т.е. сроки освоения земельных участков не превышают 3 лет.</w:t>
      </w:r>
    </w:p>
    <w:p w:rsidR="00FA31A8" w:rsidRPr="006E2775" w:rsidRDefault="00FA31A8" w:rsidP="00FA3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прогнозируемом периоде ситуация сохранится за счет исполнения программы строительства и своевременного ввода объектов в эксплуатацию.</w:t>
      </w:r>
    </w:p>
    <w:p w:rsidR="00FA31A8" w:rsidRPr="006E2775" w:rsidRDefault="00FA31A8" w:rsidP="00FA31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2016 – 2017 годах, значение показателя «площадь земельных участков, предоставленных для строительства, в отношении которых с даты принятия решения о предоставлении земельного участка не было получено разрешение на ввод в эксплуатацию иных объектов капитального строительства в течение 5 лет» равно «нулю» в связи с обеспечением нормативных сроков строительства объектов и сокращением объемов незавершенного строительства.</w:t>
      </w:r>
    </w:p>
    <w:p w:rsidR="00D87FC3" w:rsidRPr="000E5082" w:rsidRDefault="00FA31A8" w:rsidP="000E5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прогнозируемый период 2018 - 2020 годов ситуация сохранится.</w:t>
      </w:r>
    </w:p>
    <w:p w:rsidR="00D12A97" w:rsidRDefault="00D12A97" w:rsidP="000C6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VII. Жилищно-коммунальное хозяйство</w:t>
      </w:r>
    </w:p>
    <w:p w:rsidR="00D87FC3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 w:rsidR="009056B6" w:rsidRDefault="0026283A" w:rsidP="00905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многоквартирных домов, в которых собственники помещений выбрали и реализуют способ управления многоквартирными домами, в 2017 году составила 97,59%. </w:t>
      </w:r>
      <w:r w:rsidR="009056B6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показатель снизился по сравнению с 2016 годом в связи с тем, что и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706 многоквартирных домов Белокалитвинского района собственники 689 домов выбрали и реализуют один из способов управления многоквартирными домами. </w:t>
      </w:r>
    </w:p>
    <w:p w:rsidR="00D87FC3" w:rsidRPr="009056B6" w:rsidRDefault="0026283A" w:rsidP="00905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прогнозируемый период значение показателя не изменится</w:t>
      </w:r>
      <w:r w:rsidRPr="006E27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связи с тем, что в домах, не выбравших способ управления, собственники помещений отсутствуют по причине пребывания в других регионах по месту работы.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:rsidR="00BA0931" w:rsidRDefault="0026283A" w:rsidP="00BA0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отчетном 2017 году </w:t>
      </w:r>
      <w:r w:rsid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значение показателя </w:t>
      </w:r>
      <w:r w:rsidR="00BA0931" w:rsidRP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выросл</w:t>
      </w:r>
      <w:r w:rsid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A0931" w:rsidRP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1,7%</w:t>
      </w:r>
      <w:r w:rsid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сравнении с 2016 годом</w:t>
      </w:r>
      <w:r w:rsidR="00BA0931" w:rsidRP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составил</w:t>
      </w:r>
      <w:r w:rsid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A0931" w:rsidRP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86,3%.</w:t>
      </w:r>
      <w:r w:rsid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0931" w:rsidRP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связано с появлением новой теплоснабжающей организации </w:t>
      </w:r>
      <w:r w:rsid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</w:t>
      </w:r>
      <w:r w:rsidR="00BA0931" w:rsidRP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«Распределенная генерация», с которой в </w:t>
      </w:r>
      <w:r w:rsid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>2017</w:t>
      </w:r>
      <w:r w:rsidR="00BA0931" w:rsidRP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заключено концессионное соглашение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87FC3" w:rsidRDefault="00262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В плановом периоде 2018-2020 годов увеличение значения показателя не планируется.</w:t>
      </w:r>
    </w:p>
    <w:p w:rsidR="0026283A" w:rsidRDefault="00262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Показатель 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D10EF0" w:rsidRPr="000E5082" w:rsidRDefault="00D10EF0" w:rsidP="000E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отчетном периоде 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9056B6">
        <w:rPr>
          <w:rFonts w:ascii="Times New Roman" w:hAnsi="Times New Roman" w:cs="Times New Roman"/>
          <w:sz w:val="28"/>
          <w:szCs w:val="28"/>
          <w:shd w:val="clear" w:color="auto" w:fill="FFFFFF"/>
        </w:rPr>
        <w:t>, выросла на 1</w:t>
      </w:r>
      <w:r w:rsidR="003C2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процентный пункт</w:t>
      </w:r>
      <w:r w:rsidR="0090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056B6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составила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74% </w:t>
      </w:r>
      <w:r w:rsidR="009056B6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проведенной работы по постановке на кадастровый учет земельных участков под многоквартирными жилыми домами.</w:t>
      </w:r>
    </w:p>
    <w:p w:rsidR="00D10EF0" w:rsidRPr="000E5082" w:rsidRDefault="00D10EF0" w:rsidP="000E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В 2018 году планируется значения показателя</w:t>
      </w:r>
      <w:r w:rsidR="0090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уровне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75%, в 2019 году –76%, в 2020 году - 77% </w:t>
      </w:r>
    </w:p>
    <w:p w:rsidR="00D87FC3" w:rsidRPr="000E5082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 30. 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31076A" w:rsidRPr="000E5082" w:rsidRDefault="0031076A" w:rsidP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населения, получившего жилые помещения и улучшившего жилищные условия, в 2016 году составила 11,6%, в 2017 году – 13,83%. Увеличение показателя в отчетном году обусловлено выделением дополнительных средств на реализацию мероприятий по переселению граждан из аварийного жилищного фонда за счет областных средств на дома, грозящие обрушением.</w:t>
      </w:r>
    </w:p>
    <w:p w:rsidR="0031076A" w:rsidRPr="000E5082" w:rsidRDefault="0031076A" w:rsidP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прогнозируемых периодах 2018-2020 годов этот показатель планируется на уровне 13,18%, 10,57% и 10,94% соответственно, что обусловлено завершением реализации в указанный период региональных программ по обеспечению жильем ветеранов ВОВ в полном объеме, а также уменьшением количества детей-сирот, достигших 18 летнего возраста. </w:t>
      </w:r>
    </w:p>
    <w:p w:rsidR="0031076A" w:rsidRPr="000E5082" w:rsidRDefault="0031076A" w:rsidP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Прогнозные показатели даны с учетом возможных объемов реализации на территории района программы переселения граждан из аварийного жилищного фонда, признанного таковым после 01.01.2012, в том числе домов, грозящих обрушением, а также увеличением обеспечения жильем молодых семей.</w:t>
      </w:r>
    </w:p>
    <w:p w:rsidR="00D87FC3" w:rsidRDefault="00D87FC3" w:rsidP="000E5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VIII. Организация муниципального управления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 31. 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:rsidR="001F4631" w:rsidRPr="000E5082" w:rsidRDefault="001F4631" w:rsidP="001F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налоговых и неналоговых доходов бюджета Белокалитвинского района в общем объеме собственных доходов бюджета района в 2017 году составила 14,34%.</w:t>
      </w:r>
    </w:p>
    <w:p w:rsidR="001F4631" w:rsidRPr="006E2775" w:rsidRDefault="001F4631" w:rsidP="001F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по сравнению с предыдущим годом связано с увеличением безвозмездных поступлений на 63,1%.</w:t>
      </w:r>
    </w:p>
    <w:p w:rsidR="001F4631" w:rsidRPr="006E2775" w:rsidRDefault="001F4631" w:rsidP="001F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2018 году доля собственных доходов в общем объеме доходов прогнозируется в размере 18,23%. Рост по сравнению с 2017 годом связан с уменьшением безвозмездных поступлений на 30,8%.</w:t>
      </w:r>
    </w:p>
    <w:p w:rsidR="001F4631" w:rsidRPr="000E5082" w:rsidRDefault="001F4631" w:rsidP="001F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2019 году удельный вес собственных доходов в общих доходах бюджета района прогнозируется в размере 25,90%, </w:t>
      </w:r>
      <w:r w:rsidR="00387F0D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связано с уменьшением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</w:t>
      </w:r>
      <w:r w:rsidR="00387F0D">
        <w:rPr>
          <w:rFonts w:ascii="Times New Roman" w:hAnsi="Times New Roman" w:cs="Times New Roman"/>
          <w:sz w:val="28"/>
          <w:szCs w:val="28"/>
          <w:shd w:val="clear" w:color="auto" w:fill="FFFFFF"/>
        </w:rPr>
        <w:t>звозмездных поступлений на 43,1%.</w:t>
      </w:r>
    </w:p>
    <w:p w:rsidR="00D87FC3" w:rsidRDefault="001F4631" w:rsidP="001F4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2020 году удельный вес собственных доходов в общих доходах бюджета района прогнозируется в размере 27,08%, что связано с более высоким темпом роста собственных доходов (+4,7%) и уменьшением безвозмездных поступлений на 5,4%.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 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D87FC3" w:rsidRDefault="0031076A">
      <w:pPr>
        <w:spacing w:after="0" w:line="240" w:lineRule="auto"/>
        <w:ind w:firstLine="709"/>
        <w:jc w:val="both"/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Организаций муниципальной формы собственности, находящихся в стадии банкротства, в Белокалитвинском районе </w:t>
      </w:r>
      <w:r w:rsidR="00D10EF0"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отсутствуют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B4182" w:rsidRDefault="00EB4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B4182" w:rsidRDefault="00EB4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 33. Объем не 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387F0D" w:rsidRDefault="008572A0" w:rsidP="0085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незавершенного в установленные сроки строительства, осуществляемого за счет средств бюджета Белокалитвинского района в 2017 году составил 1 790,47 тыс. рублей и сложился по объекту «Строительство межпоселковой автомобильной дороги «Подъезд </w:t>
      </w:r>
      <w:proofErr w:type="gramStart"/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а/д «г. Белая Калитва (от а/д г. Белая Калитва – х. </w:t>
      </w:r>
      <w:proofErr w:type="spellStart"/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Апанасовка</w:t>
      </w:r>
      <w:proofErr w:type="spellEnd"/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п. Тацинский) к х. </w:t>
      </w:r>
      <w:proofErr w:type="spellStart"/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Нижнепопов</w:t>
      </w:r>
      <w:proofErr w:type="spellEnd"/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х. </w:t>
      </w:r>
      <w:proofErr w:type="spellStart"/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Дороговский</w:t>
      </w:r>
      <w:proofErr w:type="spellEnd"/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D87FC3" w:rsidRPr="008572A0" w:rsidRDefault="008572A0" w:rsidP="0085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В 2018-2020 годах объем незавершенного строительства не планируется.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 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:rsidR="00D87FC3" w:rsidRPr="000E5082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Просроченная к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редиторская задолженность по оплате труда (включая начисления на оплату труда) муниципальных бюджетных учреждений Белокалитвинского района отсутствует. В прогнозируемом периоде данная тенденция сохранится.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87FC3" w:rsidRPr="000E5082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 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7D7A4F" w:rsidRDefault="000A3294" w:rsidP="000A32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Белокалитвинского района составили 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в 2017 году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770,51 рублей и по отношению к 2016 году </w:t>
      </w:r>
      <w:bookmarkStart w:id="2" w:name="_Hlk480555054"/>
      <w:bookmarkEnd w:id="2"/>
      <w:r w:rsidR="007D7A4F">
        <w:rPr>
          <w:rFonts w:ascii="Times New Roman" w:hAnsi="Times New Roman" w:cs="Times New Roman"/>
          <w:sz w:val="28"/>
          <w:szCs w:val="28"/>
          <w:shd w:val="clear" w:color="auto" w:fill="FFFFFF"/>
        </w:rPr>
        <w:t>выросли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4,62%. </w:t>
      </w:r>
      <w:r w:rsidR="00EB4182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расходов в 2017 году связано с истечением срока полномочий главы Белокалитвинского района и выплатой компенсаций при увольнении высшей и главной групп должностей муниципальной службы в аппарате Администрации Белокалитвинского района, структурных подразделениях и отраслевых (функциональных) органах Администрации Белокалитвинского района</w:t>
      </w:r>
      <w:r w:rsidR="007D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A3294" w:rsidRPr="000E5082" w:rsidRDefault="000A3294" w:rsidP="000A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 году планируется рост показателя на 4,68%, что связано с индексацией заработной платы на 4%, </w:t>
      </w:r>
      <w:r w:rsidR="007D7A4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5262E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величением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МРОТ</w:t>
      </w:r>
      <w:r w:rsidR="007D7A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3294" w:rsidRPr="000E5082" w:rsidRDefault="000A3294" w:rsidP="000A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2019 год показатель составляет 730,2 рубля, уменьшение</w:t>
      </w:r>
      <w:r w:rsidR="007D7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значения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показателя на 9,47% что связано с планирован</w:t>
      </w:r>
      <w:r w:rsidR="007D7A4F">
        <w:rPr>
          <w:rFonts w:ascii="Times New Roman" w:hAnsi="Times New Roman" w:cs="Times New Roman"/>
          <w:sz w:val="28"/>
          <w:szCs w:val="28"/>
          <w:shd w:val="clear" w:color="auto" w:fill="FFFFFF"/>
        </w:rPr>
        <w:t>ием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расход</w:t>
      </w:r>
      <w:r w:rsidR="007D7A4F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7A4F">
        <w:rPr>
          <w:rFonts w:ascii="Times New Roman" w:hAnsi="Times New Roman" w:cs="Times New Roman"/>
          <w:sz w:val="28"/>
          <w:szCs w:val="28"/>
          <w:shd w:val="clear" w:color="auto" w:fill="FFFFFF"/>
        </w:rPr>
        <w:t>по условиям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года.</w:t>
      </w:r>
    </w:p>
    <w:p w:rsidR="000A3294" w:rsidRPr="000E5082" w:rsidRDefault="000A3294" w:rsidP="000A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2020 году показатель составляет 765,87 рублей с приростом 4,88%, что связано с увеличением страховых взносов на 4%.</w:t>
      </w:r>
    </w:p>
    <w:p w:rsidR="00D87FC3" w:rsidRPr="000E5082" w:rsidRDefault="00D87FC3" w:rsidP="000E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:rsidR="00D87FC3" w:rsidRPr="00FA31A8" w:rsidRDefault="00FA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 территориального планирования муниципального района утверждена решением Собрания депутатов Белокалитвинского района от 14.12.2011 № 107 «Об утверждении схемы территориального планирования Белокалитвинского района».</w:t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Показатель 37. Удовлетворенность населения деятельностью органов местного самоуправления городского округа (муниципального района)</w:t>
      </w:r>
      <w:r w:rsidR="007D7A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37357" w:rsidRPr="000E5082" w:rsidRDefault="00D37357" w:rsidP="00D3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2017 года 65,5% населения Белокалитвинского района от опрошенных удовлетворены деятельностью органов местного самоуправления района. </w:t>
      </w:r>
    </w:p>
    <w:p w:rsidR="00D37357" w:rsidRPr="000E5082" w:rsidRDefault="00D37357" w:rsidP="00D3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расширения форм информирования населения района о деятельности органов местного самоуправления и решения вопросов по личным заявлениям граждан проводились следующие мероприятия:</w:t>
      </w:r>
    </w:p>
    <w:p w:rsidR="00D37357" w:rsidRPr="000E5082" w:rsidRDefault="00D37357" w:rsidP="00D3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личные приемы граждан главой Администрации района (не реже 1 раза в месяц и по мере необходимости) и заместителями главы </w:t>
      </w:r>
      <w:r w:rsidR="0016660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bookmarkStart w:id="3" w:name="_GoBack"/>
      <w:bookmarkEnd w:id="3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 района. В отчётном периоде поступило 1053 обращения. Среди общего количества обращений 813 – письменных, 219 - устных (в ходе проведения личных приемов). Анализ тематики обращений, поступивших в администрацию района, показывает, что основную часть (49%) составляют вопросы жилищно-коммунального хозяйства;</w:t>
      </w:r>
    </w:p>
    <w:p w:rsidR="00D37357" w:rsidRPr="000E5082" w:rsidRDefault="00D37357" w:rsidP="000E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- встречи с жителями поселений, входящих в состав Белокалитвинского района, информационных групп под руководством главы Администрации района организованы не реже 3 раз в год. За 2017 год проведено 36 встреч информационных групп с жителями района. В них приняли участие 3000 человек. Во время проведения встреч на все вопросы были даны подробные разъяснения, установлены сроки их решения, даны соответствующие поручения, 22 человека записались на личный прием к главе Администрации района и заместителям главы Администрации района;</w:t>
      </w:r>
    </w:p>
    <w:p w:rsidR="00D37357" w:rsidRPr="000E5082" w:rsidRDefault="00D37357" w:rsidP="000E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- отчеты главы Администрации района и глав поселений/администраций поселений перед населением, публикация отчетов в общественно-политической газете «Перекресток», размещение на официальном сайте администрации района, освещение на телеканале «</w:t>
      </w:r>
      <w:proofErr w:type="spellStart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Белокалитвинская</w:t>
      </w:r>
      <w:proofErr w:type="spellEnd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панорама» и на «</w:t>
      </w:r>
      <w:proofErr w:type="spellStart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Авторадио</w:t>
      </w:r>
      <w:proofErr w:type="spellEnd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37357" w:rsidRPr="000E5082" w:rsidRDefault="00D37357" w:rsidP="00D3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- встречи главы района (2 раза в год) с руководителями и представителями политических партий, общественных организаций, религиозных национальных объединений по вопросам социально-экономического развития района, профилактике терроризма и экстремизма и другим актуальным вопросам.</w:t>
      </w:r>
    </w:p>
    <w:p w:rsidR="00D37357" w:rsidRPr="000E5082" w:rsidRDefault="00D37357" w:rsidP="00D3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- на официальном сайте администрации Белокалитвинского района создана интернет-приемная для обеспечения дополнительной возможности обращения граждан в администрацию района. За 2017 год в электронном виде принято 21 обращение граждан.</w:t>
      </w:r>
    </w:p>
    <w:p w:rsidR="00D87FC3" w:rsidRDefault="00D37357" w:rsidP="00D37357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Администрация района нацелена на дальнейшую эффективную работу в прогнозируемом периоде,</w:t>
      </w:r>
      <w:r w:rsidR="00BA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включает в себя проведение встреч с жителями поселений (информационных групп)</w:t>
      </w:r>
      <w:r w:rsidR="0016660C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проведение личных приемов граждан главой Администрации и заместителями главы Администрации района. В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с этим, предполагается увеличить процент по данному показателю до 67,3% к 20</w:t>
      </w:r>
      <w:r w:rsidR="00D352BB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году.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107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10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D87FC3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Показатель 38. Среднегодовая численность постоянного населения. </w:t>
      </w:r>
    </w:p>
    <w:p w:rsidR="00D87FC3" w:rsidRPr="000E5082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Среднегодовая численность населения Белокалитвинского района в 201</w:t>
      </w:r>
      <w:r w:rsidR="00773290"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по оценочным данным снизилась на 1,</w:t>
      </w:r>
      <w:r w:rsidR="00773290"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тыс.человек</w:t>
      </w:r>
      <w:proofErr w:type="spellEnd"/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составила </w:t>
      </w:r>
      <w:r w:rsidR="00773290"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92,70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человек, ожидается в 201</w:t>
      </w:r>
      <w:r w:rsidR="00773290"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8 году - 91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,50 </w:t>
      </w:r>
      <w:proofErr w:type="spellStart"/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тыс.человек</w:t>
      </w:r>
      <w:proofErr w:type="spellEnd"/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, в 201</w:t>
      </w:r>
      <w:r w:rsidR="00773290"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-20</w:t>
      </w:r>
      <w:r w:rsidR="00773290"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годах </w:t>
      </w:r>
      <w:r w:rsidR="00773290"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290"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90,3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89,</w:t>
      </w:r>
      <w:r w:rsidR="00773290"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0 тыс. человек соответственно.</w:t>
      </w: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темп снижения численности отражает тенденции естественной убыли и миграции населения.</w:t>
      </w:r>
    </w:p>
    <w:p w:rsidR="007D7A4F" w:rsidRPr="000E5082" w:rsidRDefault="007D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IX. Энергосбережение и повышение энергетической эффективности</w:t>
      </w:r>
    </w:p>
    <w:p w:rsidR="00D87FC3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Показатель 39. Удельная величина потребления энергетических ресурсов в многоквартирных домах. </w:t>
      </w:r>
    </w:p>
    <w:p w:rsidR="0026283A" w:rsidRPr="006E2775" w:rsidRDefault="0026283A" w:rsidP="0026283A">
      <w:pPr>
        <w:spacing w:after="0" w:line="240" w:lineRule="auto"/>
        <w:ind w:firstLine="708"/>
        <w:jc w:val="both"/>
        <w:rPr>
          <w:shd w:val="clear" w:color="auto" w:fill="FFFF99"/>
        </w:rPr>
      </w:pP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Показатель удельной величины потребления электроэнергии в многоквартирных домах в 2017 году </w:t>
      </w:r>
      <w:r w:rsidRPr="006E2775">
        <w:rPr>
          <w:rFonts w:ascii="Times New Roman" w:hAnsi="Times New Roman" w:cs="Times New Roman"/>
          <w:color w:val="000000" w:themeColor="text1"/>
          <w:sz w:val="28"/>
          <w:szCs w:val="28"/>
        </w:rPr>
        <w:t>увеличился на</w:t>
      </w:r>
      <w:r w:rsidR="00E63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195,4</w:t>
      </w:r>
      <w:r w:rsidR="00E632E3" w:rsidRPr="00E63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2E3" w:rsidRPr="006E2775">
        <w:rPr>
          <w:rFonts w:ascii="Times New Roman" w:hAnsi="Times New Roman" w:cs="Times New Roman"/>
          <w:color w:val="000000" w:themeColor="text1"/>
          <w:sz w:val="28"/>
          <w:szCs w:val="28"/>
        </w:rPr>
        <w:t>кВт/ч</w:t>
      </w:r>
      <w:r w:rsidR="00E63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</w:t>
      </w:r>
      <w:r w:rsidRPr="006E2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832,2 кВт/ч на одного проживающего, в связи с ростом количества электробытовых приборов на единицу населения, а также высокой температурой наружного воздуха в летнее время, что привело к активному использованию кондиционеров.</w:t>
      </w:r>
      <w:r w:rsidRPr="006E27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В планируемые 2018-2020 годы показатель удельной величины потребления электроэнергии в многоквартирных домах не планируется к увеличению в связи с применением энергосберегающих технологий.</w:t>
      </w:r>
    </w:p>
    <w:p w:rsidR="0026283A" w:rsidRPr="000E5082" w:rsidRDefault="000E5082" w:rsidP="000E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 удельной</w:t>
      </w:r>
      <w:r w:rsidR="0026283A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величины потреблен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тепловой энергии уменьшился </w:t>
      </w:r>
      <w:r w:rsidR="0026283A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0,02</w:t>
      </w:r>
      <w:r w:rsidR="00E632E3" w:rsidRP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32E3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Гкал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составил в 2017 году</w:t>
      </w:r>
      <w:r w:rsidR="0026283A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0,13 Гкал на 1 </w:t>
      </w:r>
      <w:proofErr w:type="spellStart"/>
      <w:r w:rsidR="0026283A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26283A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площади 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</w:t>
      </w:r>
      <w:r w:rsidR="0026283A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высокой температур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26283A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наружного воздуха в зимний период, а также перехода собственников помещений части домов на газовое отопление. 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прогнозируемый период д</w:t>
      </w:r>
      <w:r w:rsidR="0026283A"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анный показатель к увеличению не планируется. </w:t>
      </w:r>
    </w:p>
    <w:p w:rsidR="0026283A" w:rsidRPr="000E5082" w:rsidRDefault="0026283A" w:rsidP="000E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Показатель удельной величины потребления воды в многоквартирных </w:t>
      </w:r>
      <w:r w:rsidR="000E5082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домах в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году увеличился 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17,43 </w:t>
      </w:r>
      <w:proofErr w:type="spellStart"/>
      <w:r w:rsidR="00E632E3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куб.метро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составил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34,90 </w:t>
      </w:r>
      <w:proofErr w:type="spellStart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куб.метров</w:t>
      </w:r>
      <w:proofErr w:type="spellEnd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 проживающего за счет строительства и реконструкции сетей водоснабжения и водоотведения на территории района, что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свою очередь, 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привело к стабильному снабжению водой населения. 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прогнозируемый период д</w:t>
      </w:r>
      <w:r w:rsidR="00E632E3" w:rsidRPr="006E2775">
        <w:rPr>
          <w:rFonts w:ascii="Times New Roman" w:hAnsi="Times New Roman" w:cs="Times New Roman"/>
          <w:sz w:val="28"/>
          <w:szCs w:val="28"/>
          <w:shd w:val="clear" w:color="auto" w:fill="FFFFFF"/>
        </w:rPr>
        <w:t>анный показатель к увеличению не планируется.</w:t>
      </w:r>
    </w:p>
    <w:p w:rsidR="00D87FC3" w:rsidRPr="000E5082" w:rsidRDefault="0026283A" w:rsidP="000E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 удельной величины потребления газа увеличился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179,62</w:t>
      </w:r>
      <w:r w:rsidR="00B00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04D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>уб.метров</w:t>
      </w:r>
      <w:proofErr w:type="spellEnd"/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составил в 2017 году 338,30 </w:t>
      </w:r>
      <w:proofErr w:type="spellStart"/>
      <w:r w:rsidR="00E632E3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куб.метров</w:t>
      </w:r>
      <w:proofErr w:type="spellEnd"/>
      <w:r w:rsidR="00E632E3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 проживающего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газификацией района и использованием газа не только для приготовления пищи и нагрева воды, но и в целях отопления помещений. 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прогнозируемом периоде п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оказатель планируется к увеличению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350 </w:t>
      </w:r>
      <w:proofErr w:type="spellStart"/>
      <w:r w:rsidR="00E632E3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куб.метров</w:t>
      </w:r>
      <w:proofErr w:type="spellEnd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дальнейшей газификацией района.</w:t>
      </w:r>
    </w:p>
    <w:p w:rsidR="0026283A" w:rsidRDefault="0026283A" w:rsidP="00262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Показатель 40. Удельная величина потребления энергетических ресурсов муниципальными бюджетными учреждениями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0E82" w:rsidRPr="000E5082" w:rsidRDefault="00780E82" w:rsidP="000E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2017 году отмечено снижение удельной величины потребления электрической энергии муниципальными бюджетными учреждениями на 2,26 процентных </w:t>
      </w:r>
      <w:r w:rsidR="00E632E3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в сравнении с 2016 годом, что составило 51,88 кВт/</w:t>
      </w:r>
      <w:r w:rsidR="00C5262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B004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Снижение показателя обусловлено реализацией мероприятий, предусмотренных муниципальными программами энергосбережения и повышения энергетической эффективности и, как следствие, снижением (экономией) фактического потребления электрической энергии бюджетными учреждениями в 2017 году. В плановом периоде 2018-2020 годов этот показатель планируется к увеличению</w:t>
      </w:r>
      <w:r w:rsidR="00B00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66,3 кВт/ч на 1 человека населения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обусловлено строительством и вводом в эксплуатацию ряда новых муниципальных бюджетных учреждений, увеличением численности учащихся и воспитанников муниципальных бюджетных общеобразовательных учреждений, введением в эксплуатацию новых точек освещения, приобретением и вводом в эксплуатацию офисной техники и других электроприборов, в том числе энергоемких: сплит-системы, стиральные машины и холодильные камеры для детских дошкольных учреждений и пр.</w:t>
      </w:r>
    </w:p>
    <w:p w:rsidR="00780E82" w:rsidRPr="000E5082" w:rsidRDefault="00780E82" w:rsidP="000E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Значение показателя «Удельная величина потребления тепловой энергии муниципальными бюджетными учреждениями» осталось на уровне 2016 года (0,02 Гкал на 1 кв. метр общей площади). В плановом периоде 2018-2020 годов показатель не планируется к увеличению. Сохранение удельной величины потребления тепловой энергии на один </w:t>
      </w:r>
      <w:proofErr w:type="spellStart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связано с установлением приборов учета тепловой энергии в зданиях бюджетных учреждений.</w:t>
      </w:r>
    </w:p>
    <w:p w:rsidR="00780E82" w:rsidRPr="000E5082" w:rsidRDefault="00780E82" w:rsidP="000E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В 2017 году отмечено снижение удельной величины потребления холодной воды муниципальными бюджетными учреждениями на 0,02 процентных пункта в сравнении с 2016 годом, что</w:t>
      </w:r>
      <w:r w:rsidR="00B00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составило 0,87 </w:t>
      </w:r>
      <w:proofErr w:type="spellStart"/>
      <w:r w:rsidR="00B004D7">
        <w:rPr>
          <w:rFonts w:ascii="Times New Roman" w:hAnsi="Times New Roman" w:cs="Times New Roman"/>
          <w:sz w:val="28"/>
          <w:szCs w:val="28"/>
          <w:shd w:val="clear" w:color="auto" w:fill="FFFFFF"/>
        </w:rPr>
        <w:t>куб.метров</w:t>
      </w:r>
      <w:proofErr w:type="spellEnd"/>
      <w:r w:rsidR="00B00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 человека населения. Это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связано с реализацией бюджетными учреждениями ряда энергосберегающих мероприятий. В плановом периоде 2018-2020 годов этот показатель планируется к увеличению</w:t>
      </w:r>
      <w:r w:rsidR="00B00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1,01 </w:t>
      </w:r>
      <w:proofErr w:type="spellStart"/>
      <w:r w:rsidR="00B004D7">
        <w:rPr>
          <w:rFonts w:ascii="Times New Roman" w:hAnsi="Times New Roman" w:cs="Times New Roman"/>
          <w:sz w:val="28"/>
          <w:szCs w:val="28"/>
          <w:shd w:val="clear" w:color="auto" w:fill="FFFFFF"/>
        </w:rPr>
        <w:t>куб.метров</w:t>
      </w:r>
      <w:proofErr w:type="spellEnd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обусловлено строительством и вводом в эксплуатацию ряда новых муниципальных бюджетных учреждений, увеличением численности учащихся и воспитанников муниципальных бюджетных общеобразовательных учреждений, повышением посещаемости детьми различных кружков и секций. </w:t>
      </w:r>
    </w:p>
    <w:p w:rsidR="00780E82" w:rsidRPr="000E5082" w:rsidRDefault="00B004D7" w:rsidP="000E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80E82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оказател</w:t>
      </w:r>
      <w:r w:rsidR="00C5262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780E82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удельной величины потребления природного газа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вырос в 2017 году</w:t>
      </w:r>
      <w:r w:rsidR="00780E82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0,69 процентных пункта в сравнении с 2016 годом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составил </w:t>
      </w:r>
      <w:r w:rsidR="002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5,69 </w:t>
      </w:r>
      <w:proofErr w:type="spellStart"/>
      <w:r w:rsidR="0028021E">
        <w:rPr>
          <w:rFonts w:ascii="Times New Roman" w:hAnsi="Times New Roman" w:cs="Times New Roman"/>
          <w:sz w:val="28"/>
          <w:szCs w:val="28"/>
          <w:shd w:val="clear" w:color="auto" w:fill="FFFFFF"/>
        </w:rPr>
        <w:t>куб.метров</w:t>
      </w:r>
      <w:proofErr w:type="spellEnd"/>
      <w:r w:rsidR="0028021E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связано с</w:t>
      </w:r>
      <w:r w:rsidR="00780E82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газификаци</w:t>
      </w:r>
      <w:r w:rsidR="0028021E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780E82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28021E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отчетном</w:t>
      </w:r>
      <w:r w:rsidR="00780E82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МБОУ СОШ №11, МБДОУ </w:t>
      </w:r>
      <w:r w:rsidR="0028021E">
        <w:rPr>
          <w:rFonts w:ascii="Times New Roman" w:hAnsi="Times New Roman" w:cs="Times New Roman"/>
          <w:sz w:val="28"/>
          <w:szCs w:val="28"/>
          <w:shd w:val="clear" w:color="auto" w:fill="FFFFFF"/>
        </w:rPr>
        <w:t>ДС</w:t>
      </w:r>
      <w:r w:rsidR="00780E82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№106 «</w:t>
      </w:r>
      <w:proofErr w:type="spellStart"/>
      <w:r w:rsidR="00780E82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Ивушка</w:t>
      </w:r>
      <w:proofErr w:type="spellEnd"/>
      <w:r w:rsidR="00780E82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МБУК </w:t>
      </w:r>
      <w:proofErr w:type="spellStart"/>
      <w:r w:rsidR="00780E82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Краснодонецкого</w:t>
      </w:r>
      <w:proofErr w:type="spellEnd"/>
      <w:r w:rsidR="00780E82"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«Краснодонецкая клубная система».</w:t>
      </w:r>
    </w:p>
    <w:p w:rsidR="00780E82" w:rsidRPr="000E5082" w:rsidRDefault="00780E82" w:rsidP="000E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2018 год планируется увеличение удельной величины потребления природного газа на 1,54 процентных пункта в сравнении с 2017 годом в связи с газификацией МБДОУ детский сад №16 «Золотая рыбка», МБУК Белокалитвинского городского поселения «Центр культурного развития», МБУК </w:t>
      </w:r>
      <w:proofErr w:type="spellStart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Краснодонецкого</w:t>
      </w:r>
      <w:proofErr w:type="spellEnd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«Краснодонецкая клубная система». В 2019-2020 годах планируется увеличение удельной величины потребления природного газа муниципальными бюджетными учреждениями</w:t>
      </w:r>
      <w:r w:rsidR="002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20,78 </w:t>
      </w:r>
      <w:proofErr w:type="spellStart"/>
      <w:r w:rsidR="0028021E">
        <w:rPr>
          <w:rFonts w:ascii="Times New Roman" w:hAnsi="Times New Roman" w:cs="Times New Roman"/>
          <w:sz w:val="28"/>
          <w:szCs w:val="28"/>
          <w:shd w:val="clear" w:color="auto" w:fill="FFFFFF"/>
        </w:rPr>
        <w:t>куб.метров</w:t>
      </w:r>
      <w:proofErr w:type="spellEnd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дальнейшей газификацией и техническим перевооружением угольных котельных по 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использованию вида топлива «природный газ» вместо твердого топлива (угля), а также строительством и вводом в эксплуатацию ряда новых муниципальных бюджетных учреждений (МБДОУ </w:t>
      </w:r>
      <w:r w:rsidR="0028021E">
        <w:rPr>
          <w:rFonts w:ascii="Times New Roman" w:hAnsi="Times New Roman" w:cs="Times New Roman"/>
          <w:sz w:val="28"/>
          <w:szCs w:val="28"/>
          <w:shd w:val="clear" w:color="auto" w:fill="FFFFFF"/>
        </w:rPr>
        <w:t>ДС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№25 «Ручеек», МБДОУ </w:t>
      </w:r>
      <w:r w:rsidR="0028021E">
        <w:rPr>
          <w:rFonts w:ascii="Times New Roman" w:hAnsi="Times New Roman" w:cs="Times New Roman"/>
          <w:sz w:val="28"/>
          <w:szCs w:val="28"/>
          <w:shd w:val="clear" w:color="auto" w:fill="FFFFFF"/>
        </w:rPr>
        <w:t>ДС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№70 «Звездочка», МБДОУ </w:t>
      </w:r>
      <w:r w:rsidR="00280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ДС </w:t>
      </w: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№2 «Садко», ДОО </w:t>
      </w:r>
      <w:proofErr w:type="spellStart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мкр</w:t>
      </w:r>
      <w:proofErr w:type="spellEnd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Солнечный, ДОО </w:t>
      </w:r>
      <w:proofErr w:type="spellStart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Коксовского</w:t>
      </w:r>
      <w:proofErr w:type="spellEnd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поселения).</w:t>
      </w:r>
    </w:p>
    <w:p w:rsidR="00D87FC3" w:rsidRPr="000E5082" w:rsidRDefault="00780E82" w:rsidP="000E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Учитывая, что для расчета показателя 40 согласно </w:t>
      </w:r>
      <w:proofErr w:type="gramStart"/>
      <w:r w:rsid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</w:t>
      </w:r>
      <w:proofErr w:type="gramEnd"/>
      <w:r w:rsidRPr="000E5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применяется среднегодовая численность постоянного населения муниципального района, которая имеет ежегодную тенденцию к снижению, все удельные величины показателя могут увеличиваться по объективным причинам. </w:t>
      </w:r>
    </w:p>
    <w:sectPr w:rsidR="00D87FC3" w:rsidRPr="000E5082" w:rsidSect="00D12A97">
      <w:footerReference w:type="default" r:id="rId7"/>
      <w:pgSz w:w="11906" w:h="16838"/>
      <w:pgMar w:top="851" w:right="567" w:bottom="851" w:left="1134" w:header="0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B8" w:rsidRDefault="0031076A">
      <w:pPr>
        <w:spacing w:after="0" w:line="240" w:lineRule="auto"/>
      </w:pPr>
      <w:r>
        <w:separator/>
      </w:r>
    </w:p>
  </w:endnote>
  <w:endnote w:type="continuationSeparator" w:id="0">
    <w:p w:rsidR="00126EB8" w:rsidRDefault="0031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C3" w:rsidRDefault="0031076A">
    <w:pPr>
      <w:pStyle w:val="af3"/>
      <w:jc w:val="right"/>
    </w:pPr>
    <w:r>
      <w:fldChar w:fldCharType="begin"/>
    </w:r>
    <w:r>
      <w:instrText>PAGE</w:instrText>
    </w:r>
    <w:r>
      <w:fldChar w:fldCharType="separate"/>
    </w:r>
    <w:r w:rsidR="0016660C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B8" w:rsidRDefault="0031076A">
      <w:pPr>
        <w:spacing w:after="0" w:line="240" w:lineRule="auto"/>
      </w:pPr>
      <w:r>
        <w:separator/>
      </w:r>
    </w:p>
  </w:footnote>
  <w:footnote w:type="continuationSeparator" w:id="0">
    <w:p w:rsidR="00126EB8" w:rsidRDefault="00310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C3"/>
    <w:rsid w:val="000A3294"/>
    <w:rsid w:val="000A7134"/>
    <w:rsid w:val="000C6C33"/>
    <w:rsid w:val="000E5082"/>
    <w:rsid w:val="00117BDE"/>
    <w:rsid w:val="00126EB8"/>
    <w:rsid w:val="001569A5"/>
    <w:rsid w:val="0016660C"/>
    <w:rsid w:val="001C1648"/>
    <w:rsid w:val="001C258D"/>
    <w:rsid w:val="001C6DBB"/>
    <w:rsid w:val="001F4631"/>
    <w:rsid w:val="001F4E6E"/>
    <w:rsid w:val="0020256C"/>
    <w:rsid w:val="00254613"/>
    <w:rsid w:val="00260209"/>
    <w:rsid w:val="0026283A"/>
    <w:rsid w:val="0027269D"/>
    <w:rsid w:val="0028021E"/>
    <w:rsid w:val="00295F6A"/>
    <w:rsid w:val="0031076A"/>
    <w:rsid w:val="00353E26"/>
    <w:rsid w:val="0036126B"/>
    <w:rsid w:val="00387F0D"/>
    <w:rsid w:val="003C2C01"/>
    <w:rsid w:val="003E2B31"/>
    <w:rsid w:val="0045646A"/>
    <w:rsid w:val="004577D1"/>
    <w:rsid w:val="00470C1B"/>
    <w:rsid w:val="0057531F"/>
    <w:rsid w:val="005B7C52"/>
    <w:rsid w:val="005C67F3"/>
    <w:rsid w:val="005F42DE"/>
    <w:rsid w:val="00643426"/>
    <w:rsid w:val="00646A6C"/>
    <w:rsid w:val="006B6363"/>
    <w:rsid w:val="006E2775"/>
    <w:rsid w:val="006E3DF2"/>
    <w:rsid w:val="006E484F"/>
    <w:rsid w:val="00711D97"/>
    <w:rsid w:val="00726D00"/>
    <w:rsid w:val="007345B6"/>
    <w:rsid w:val="0077139B"/>
    <w:rsid w:val="00773290"/>
    <w:rsid w:val="00776BB5"/>
    <w:rsid w:val="00780E82"/>
    <w:rsid w:val="007A5912"/>
    <w:rsid w:val="007D7A4F"/>
    <w:rsid w:val="007E63E5"/>
    <w:rsid w:val="008572A0"/>
    <w:rsid w:val="00867D32"/>
    <w:rsid w:val="008A61AD"/>
    <w:rsid w:val="008B0558"/>
    <w:rsid w:val="009022E2"/>
    <w:rsid w:val="009056B6"/>
    <w:rsid w:val="00907AE3"/>
    <w:rsid w:val="00913C41"/>
    <w:rsid w:val="009401BC"/>
    <w:rsid w:val="00954844"/>
    <w:rsid w:val="009A6582"/>
    <w:rsid w:val="009D0872"/>
    <w:rsid w:val="00A454BC"/>
    <w:rsid w:val="00A91E6D"/>
    <w:rsid w:val="00AF261C"/>
    <w:rsid w:val="00B004D7"/>
    <w:rsid w:val="00B52F77"/>
    <w:rsid w:val="00B906A6"/>
    <w:rsid w:val="00BA0931"/>
    <w:rsid w:val="00C5262E"/>
    <w:rsid w:val="00CC6B0C"/>
    <w:rsid w:val="00D10EF0"/>
    <w:rsid w:val="00D12A97"/>
    <w:rsid w:val="00D25902"/>
    <w:rsid w:val="00D352BB"/>
    <w:rsid w:val="00D37357"/>
    <w:rsid w:val="00D87FC3"/>
    <w:rsid w:val="00DA72C8"/>
    <w:rsid w:val="00DD687B"/>
    <w:rsid w:val="00DE12B4"/>
    <w:rsid w:val="00DE41D4"/>
    <w:rsid w:val="00E159F8"/>
    <w:rsid w:val="00E632E3"/>
    <w:rsid w:val="00E8236B"/>
    <w:rsid w:val="00EB3BB0"/>
    <w:rsid w:val="00EB4182"/>
    <w:rsid w:val="00EC10BF"/>
    <w:rsid w:val="00F354A6"/>
    <w:rsid w:val="00F7119E"/>
    <w:rsid w:val="00F87228"/>
    <w:rsid w:val="00F91E32"/>
    <w:rsid w:val="00FA31A8"/>
    <w:rsid w:val="00F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D9AC"/>
  <w15:docId w15:val="{70690F8C-F976-4165-8955-69097B78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3">
    <w:name w:val="ListLabel 3"/>
    <w:qFormat/>
    <w:rPr>
      <w:rFonts w:eastAsia="Wingdings"/>
    </w:rPr>
  </w:style>
  <w:style w:type="character" w:customStyle="1" w:styleId="ListLabel2">
    <w:name w:val="ListLabel 2"/>
    <w:qFormat/>
    <w:rPr>
      <w:rFonts w:eastAsia="Courier New"/>
    </w:rPr>
  </w:style>
  <w:style w:type="character" w:customStyle="1" w:styleId="ListLabel1">
    <w:name w:val="ListLabel 1"/>
    <w:qFormat/>
    <w:rPr>
      <w:rFonts w:eastAsia="Symbol"/>
    </w:rPr>
  </w:style>
  <w:style w:type="character" w:customStyle="1" w:styleId="a6">
    <w:name w:val="Основной текст_"/>
    <w:qFormat/>
    <w:rPr>
      <w:sz w:val="27"/>
      <w:shd w:val="clear" w:color="auto" w:fill="FFFFFF"/>
    </w:rPr>
  </w:style>
  <w:style w:type="character" w:customStyle="1" w:styleId="a7">
    <w:name w:val="Основной текст Знак"/>
    <w:qFormat/>
    <w:rPr>
      <w:sz w:val="24"/>
    </w:rPr>
  </w:style>
  <w:style w:type="character" w:customStyle="1" w:styleId="20">
    <w:name w:val="Основной текст с отступом 2 Знак"/>
    <w:qFormat/>
    <w:rPr>
      <w:sz w:val="24"/>
    </w:rPr>
  </w:style>
  <w:style w:type="character" w:customStyle="1" w:styleId="30">
    <w:name w:val="Основной текст с отступом 3 Знак"/>
    <w:qFormat/>
    <w:rPr>
      <w:sz w:val="16"/>
    </w:rPr>
  </w:style>
  <w:style w:type="character" w:customStyle="1" w:styleId="a8">
    <w:name w:val="Основной текст с отступом Знак"/>
    <w:qFormat/>
    <w:rPr>
      <w:sz w:val="24"/>
    </w:rPr>
  </w:style>
  <w:style w:type="character" w:customStyle="1" w:styleId="5">
    <w:name w:val="Заголовок 5 Знак"/>
    <w:qFormat/>
    <w:rPr>
      <w:rFonts w:ascii="Calibri" w:eastAsia="0" w:hAnsi="Calibri"/>
      <w:b/>
      <w:i/>
      <w:sz w:val="26"/>
    </w:rPr>
  </w:style>
  <w:style w:type="character" w:customStyle="1" w:styleId="4">
    <w:name w:val="Заголовок 4 Знак"/>
    <w:qFormat/>
    <w:rPr>
      <w:rFonts w:ascii="Calibri" w:eastAsia="0" w:hAnsi="Calibri"/>
      <w:b/>
      <w:sz w:val="28"/>
    </w:rPr>
  </w:style>
  <w:style w:type="character" w:customStyle="1" w:styleId="31">
    <w:name w:val="Заголовок 3 Знак"/>
    <w:qFormat/>
    <w:rPr>
      <w:rFonts w:ascii="Cambria" w:eastAsia="0" w:hAnsi="Cambria"/>
      <w:b/>
      <w:sz w:val="26"/>
    </w:rPr>
  </w:style>
  <w:style w:type="character" w:customStyle="1" w:styleId="21">
    <w:name w:val="Заголовок 2 Знак"/>
    <w:qFormat/>
    <w:rPr>
      <w:rFonts w:ascii="Cambria" w:eastAsia="0" w:hAnsi="Cambria"/>
      <w:b/>
      <w:i/>
      <w:sz w:val="28"/>
    </w:rPr>
  </w:style>
  <w:style w:type="character" w:customStyle="1" w:styleId="10">
    <w:name w:val="Заголовок 1 Знак"/>
    <w:qFormat/>
    <w:rPr>
      <w:rFonts w:ascii="Cambria" w:eastAsia="0" w:hAnsi="Cambria"/>
      <w:b/>
      <w:sz w:val="32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ascii="Times New Roman" w:hAnsi="Times New Roman"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c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23">
    <w:name w:val="Указатель2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e">
    <w:name w:val="Знак Знак Знак Знак Знак Знак Знак Знак Знак Знак Знак Знак"/>
    <w:basedOn w:val="a"/>
    <w:qFormat/>
    <w:pPr>
      <w:spacing w:before="280" w:after="280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Balloon Text"/>
    <w:basedOn w:val="a"/>
    <w:qFormat/>
    <w:rPr>
      <w:rFonts w:ascii="Tahoma" w:eastAsia="Tahoma" w:hAnsi="Tahoma"/>
      <w:sz w:val="16"/>
    </w:rPr>
  </w:style>
  <w:style w:type="paragraph" w:customStyle="1" w:styleId="af1">
    <w:name w:val="Знак Знак Знак Знак Знак Знак Знак Знак Знак"/>
    <w:basedOn w:val="a"/>
    <w:qFormat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15">
    <w:name w:val="Основной текст1"/>
    <w:basedOn w:val="a"/>
    <w:qFormat/>
    <w:pPr>
      <w:widowControl w:val="0"/>
      <w:shd w:val="clear" w:color="auto" w:fill="FFFFFF"/>
      <w:spacing w:line="317" w:lineRule="exact"/>
      <w:jc w:val="center"/>
    </w:pPr>
    <w:rPr>
      <w:sz w:val="27"/>
    </w:rPr>
  </w:style>
  <w:style w:type="paragraph" w:styleId="24">
    <w:name w:val="Body Text Indent 2"/>
    <w:basedOn w:val="a"/>
    <w:qFormat/>
    <w:pPr>
      <w:ind w:firstLine="720"/>
      <w:jc w:val="both"/>
    </w:pPr>
    <w:rPr>
      <w:sz w:val="28"/>
    </w:rPr>
  </w:style>
  <w:style w:type="paragraph" w:styleId="33">
    <w:name w:val="Body Text Indent 3"/>
    <w:basedOn w:val="a"/>
    <w:qFormat/>
    <w:pPr>
      <w:ind w:firstLine="720"/>
      <w:jc w:val="both"/>
    </w:pPr>
    <w:rPr>
      <w:sz w:val="26"/>
    </w:rPr>
  </w:style>
  <w:style w:type="paragraph" w:styleId="af6">
    <w:name w:val="No Spacing"/>
    <w:uiPriority w:val="1"/>
    <w:qFormat/>
    <w:rsid w:val="001C258D"/>
    <w:pPr>
      <w:suppressAutoHyphens/>
    </w:pPr>
    <w:rPr>
      <w:rFonts w:asciiTheme="minorHAnsi" w:eastAsiaTheme="minorHAnsi" w:hAnsiTheme="minorHAnsi" w:cstheme="minorBidi"/>
      <w:sz w:val="24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C198-77EA-4E05-9061-45D2D000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17</Pages>
  <Words>6614</Words>
  <Characters>37704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513</dc:creator>
  <cp:lastModifiedBy>Ольга Аржановcкая</cp:lastModifiedBy>
  <cp:revision>31</cp:revision>
  <cp:lastPrinted>2018-04-26T08:37:00Z</cp:lastPrinted>
  <dcterms:created xsi:type="dcterms:W3CDTF">2018-04-18T09:29:00Z</dcterms:created>
  <dcterms:modified xsi:type="dcterms:W3CDTF">2018-04-28T08:46:00Z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