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6403" w:type="dxa"/>
        <w:tblInd w:w="371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403"/>
      </w:tblGrid>
      <w:tr w:rsidR="007C546E" w:rsidTr="00083A05">
        <w:tc>
          <w:tcPr>
            <w:tcW w:w="6403" w:type="dxa"/>
            <w:shd w:val="clear" w:color="auto" w:fill="auto"/>
          </w:tcPr>
          <w:p w:rsidR="007C546E" w:rsidRDefault="007C5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546E" w:rsidRDefault="007C546E" w:rsidP="00083A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C546E" w:rsidRDefault="00503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Экономическое развитие</w:t>
      </w:r>
    </w:p>
    <w:p w:rsidR="007C546E" w:rsidRDefault="007C54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46E" w:rsidRDefault="0050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Показатель 1. Число субъектов малого и среднего предпринимательства.  </w:t>
      </w:r>
    </w:p>
    <w:p w:rsidR="007C546E" w:rsidRDefault="0050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расчете на 10 тыс. жителей района количество субъектов малого и среднего предпринимательства составило в 2014 году - 344,63, в 2015 году - 352,53 единиц. Рост субъектов малого и средн</w:t>
      </w:r>
      <w:r>
        <w:rPr>
          <w:rFonts w:ascii="Times New Roman" w:hAnsi="Times New Roman" w:cs="Times New Roman"/>
          <w:sz w:val="28"/>
          <w:szCs w:val="28"/>
        </w:rPr>
        <w:t>его предпринимательства связан с активизацией предпринимательской деятельности по причине улучшения налогового климата и развития различных форм поддержки предпринимательства в рамках реализации подпрограммы «Развитие субъектов малого и среднего предприним</w:t>
      </w:r>
      <w:r>
        <w:rPr>
          <w:rFonts w:ascii="Times New Roman" w:hAnsi="Times New Roman" w:cs="Times New Roman"/>
          <w:sz w:val="28"/>
          <w:szCs w:val="28"/>
        </w:rPr>
        <w:t>ательства в Белокалитвинском районе» муниципальной  программы «Экономическое развитие и инновационная экономика».</w:t>
      </w:r>
    </w:p>
    <w:p w:rsidR="007C546E" w:rsidRDefault="005033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прогнозируемом периоде ожидается сохранение тенденции роста числа субъектов малого и среднего предпринимательства: в 2016 году - 354,96 един</w:t>
      </w:r>
      <w:r>
        <w:rPr>
          <w:rFonts w:ascii="Times New Roman" w:hAnsi="Times New Roman" w:cs="Times New Roman"/>
          <w:sz w:val="28"/>
          <w:szCs w:val="28"/>
        </w:rPr>
        <w:t>иц в расчете на 10 тыс.жителей района, 2017 - 359,00 и 2018 - 362,00 за счет продолжения реализации муниципальной программы, а также софинансирования мероприятий, направленных на поддержку и развитие предпринимательства, из средств областного и федеральног</w:t>
      </w:r>
      <w:r>
        <w:rPr>
          <w:rFonts w:ascii="Times New Roman" w:hAnsi="Times New Roman" w:cs="Times New Roman"/>
          <w:sz w:val="28"/>
          <w:szCs w:val="28"/>
        </w:rPr>
        <w:t>о бюджета.</w:t>
      </w:r>
    </w:p>
    <w:p w:rsidR="007C546E" w:rsidRDefault="007C54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C546E" w:rsidRDefault="0050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Показатель 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46E" w:rsidRDefault="0050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доля среднесписо</w:t>
      </w:r>
      <w:r>
        <w:rPr>
          <w:rFonts w:ascii="Times New Roman" w:hAnsi="Times New Roman" w:cs="Times New Roman"/>
          <w:sz w:val="28"/>
          <w:szCs w:val="28"/>
        </w:rPr>
        <w:t>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Белокалитвинского района уменьшилась на 1,4 процентных пункта и составил</w:t>
      </w:r>
      <w:r>
        <w:rPr>
          <w:rFonts w:ascii="Times New Roman" w:hAnsi="Times New Roman" w:cs="Times New Roman"/>
          <w:sz w:val="28"/>
          <w:szCs w:val="28"/>
        </w:rPr>
        <w:t>а 22,30%. Данная ситуация обусловлена превышением сокращения численности работников малого сектора бизнеса в отчетном периоде над темпами аналогичного процесса по кругу крупных и средних организаций в связи со сложной экономической ситуацией и оптимизацией</w:t>
      </w:r>
      <w:r>
        <w:rPr>
          <w:rFonts w:ascii="Times New Roman" w:hAnsi="Times New Roman" w:cs="Times New Roman"/>
          <w:sz w:val="28"/>
          <w:szCs w:val="28"/>
        </w:rPr>
        <w:t xml:space="preserve"> расходов субъектов малого предпринимательства.</w:t>
      </w:r>
    </w:p>
    <w:p w:rsidR="007C546E" w:rsidRDefault="0050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ожидается значение данного показателя на уровне 22,40%.</w:t>
      </w:r>
    </w:p>
    <w:p w:rsidR="007C546E" w:rsidRDefault="005033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2017-2018 годах прогнозируется незначительное ежегодное увеличение данного показателя на 0,10 процентных пункта в связи с сохранением </w:t>
      </w:r>
      <w:r>
        <w:rPr>
          <w:rFonts w:ascii="Times New Roman" w:hAnsi="Times New Roman" w:cs="Times New Roman"/>
          <w:sz w:val="28"/>
          <w:szCs w:val="28"/>
        </w:rPr>
        <w:t>динамики превышения темпов роста численности работников малых и средних предприятий над темпом роста численности работников всех предприятий и организаций района.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C546E" w:rsidRDefault="007C54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546E" w:rsidRDefault="005033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Показатель 3. Объем инвестиций в основной капитал (за исключением бюджетных средств) в расч</w:t>
      </w:r>
      <w:r>
        <w:rPr>
          <w:rFonts w:ascii="Times New Roman" w:hAnsi="Times New Roman" w:cs="Times New Roman"/>
          <w:b/>
          <w:sz w:val="28"/>
          <w:szCs w:val="28"/>
        </w:rPr>
        <w:t>ете на 1 жителя.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C546E" w:rsidRDefault="005033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2014 году объем инвестиций в основной капитал в расчете на 1 жителя сложился в сумме 11862,08 рублей. В 2015 году показатель увеличился на 49,43% и составил 17726,06 рублей. </w:t>
      </w:r>
    </w:p>
    <w:p w:rsidR="007C546E" w:rsidRDefault="005033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Рост значения показателя обусловлен увеличением объема инвес</w:t>
      </w:r>
      <w:r>
        <w:rPr>
          <w:rFonts w:ascii="Times New Roman" w:hAnsi="Times New Roman" w:cs="Times New Roman"/>
          <w:bCs/>
          <w:sz w:val="28"/>
          <w:szCs w:val="28"/>
        </w:rPr>
        <w:t xml:space="preserve">тиций в ООО «ШУ «Садкинское», направленных на монтаж и запуск лавы, приобретение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оборудования и строительство обогатительной фабрики, а также реализацией проекта «Установка печи предварительного нагрева слябов перед прокаткой» в АО «Алюминий Металлург Рус»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C546E" w:rsidRDefault="005033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В 2016 году завершится инвестиционный проект «Установка линии обработки тонкого листа» АО «Алюминий Металлург Рус», продолжится строительство обогатительной фабрики ООО «ШУ «Садкинское». Объем инвестиций в основной капитал в расчете на 1 жителя прогнози</w:t>
      </w:r>
      <w:r>
        <w:rPr>
          <w:rFonts w:ascii="Times New Roman" w:hAnsi="Times New Roman" w:cs="Times New Roman"/>
          <w:bCs/>
          <w:sz w:val="28"/>
          <w:szCs w:val="28"/>
        </w:rPr>
        <w:t xml:space="preserve">руется на уровне 22020,77 рублей. </w:t>
      </w:r>
    </w:p>
    <w:p w:rsidR="007C546E" w:rsidRDefault="005033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В 2017 году прогнозируется увеличение значения данного показателя до 22239,70 рублей. ООО «ШУ «Садкинское» продолжит приобретение и монтаж горного оборудования и завершит строительство обогатительной фабрики.  АО «Алюмин</w:t>
      </w:r>
      <w:r>
        <w:rPr>
          <w:rFonts w:ascii="Times New Roman" w:hAnsi="Times New Roman" w:cs="Times New Roman"/>
          <w:bCs/>
          <w:sz w:val="28"/>
          <w:szCs w:val="28"/>
        </w:rPr>
        <w:t xml:space="preserve">ий Металлург Рус» планирует осуществление модернизации производства. </w:t>
      </w:r>
    </w:p>
    <w:p w:rsidR="007C546E" w:rsidRDefault="005033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В 2018 году ООО «ШУ «Садкинское» направит инвестиции на приобретение очистного оборудования и модернизацию подземной транспортной цепочки. Предприятия металлургического сектора экономик</w:t>
      </w:r>
      <w:r>
        <w:rPr>
          <w:rFonts w:ascii="Times New Roman" w:hAnsi="Times New Roman" w:cs="Times New Roman"/>
          <w:bCs/>
          <w:sz w:val="28"/>
          <w:szCs w:val="28"/>
        </w:rPr>
        <w:t xml:space="preserve">и предполагают направить средства на обновление оборудования. Объем инвестиций в основной капитал в расчете на 1 жителя по прогнозу увеличится до 22448,41 рублей. </w:t>
      </w:r>
    </w:p>
    <w:p w:rsidR="007C546E" w:rsidRDefault="007C54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546E" w:rsidRDefault="0050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Показатель 4. Доля площади земельных участков, являющихся объектами налогообложения земельн</w:t>
      </w:r>
      <w:r>
        <w:rPr>
          <w:rFonts w:ascii="Times New Roman" w:hAnsi="Times New Roman" w:cs="Times New Roman"/>
          <w:b/>
          <w:bCs/>
          <w:sz w:val="28"/>
          <w:szCs w:val="28"/>
        </w:rPr>
        <w:t>ым налогом, в общей площади территории городского округа (муниципального района).</w:t>
      </w:r>
    </w:p>
    <w:p w:rsidR="007C546E" w:rsidRDefault="005033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2015 года 99,00% площади земельных участков являются объектами налогообложения (в 2014 году - 98,90%). К 2018 году данный показатель будет доведен до 100%.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C546E" w:rsidRDefault="007C54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546E" w:rsidRDefault="0050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Показатель 5. Доля прибыльных сельскохозяйственных организаций в общем их числе.</w:t>
      </w:r>
    </w:p>
    <w:p w:rsidR="007C546E" w:rsidRDefault="0050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прибыльных сельскохозяйственных организаций в 2015 году увеличилась на 12,83 процентных пункта и составила 92% в связи с получением валового сбора зерновых и зернобобовых</w:t>
      </w:r>
      <w:r>
        <w:rPr>
          <w:rFonts w:ascii="Times New Roman" w:hAnsi="Times New Roman" w:cs="Times New Roman"/>
          <w:sz w:val="28"/>
          <w:szCs w:val="28"/>
        </w:rPr>
        <w:t xml:space="preserve"> культур на 2% выше уровня 2014 года и увеличения цены на зерно. Два предприятия получили убытки: ОАО «Птицефабрика Белокалитвинская», ООО «Березовка». В 2016 году ожидается увеличение числа прибыльных предприятий на одну единицу (ООО «Березовка планирует </w:t>
      </w:r>
      <w:r>
        <w:rPr>
          <w:rFonts w:ascii="Times New Roman" w:hAnsi="Times New Roman" w:cs="Times New Roman"/>
          <w:sz w:val="28"/>
          <w:szCs w:val="28"/>
        </w:rPr>
        <w:t xml:space="preserve">в 2016 году получить прибыль), доля прибыльных сельскохозяйственных организаций составит 96%. </w:t>
      </w:r>
    </w:p>
    <w:p w:rsidR="007C546E" w:rsidRDefault="005033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2018 году доля прибыльных предприятий составит 100% в результате принимаемых мер по выведению ОАО «Птицефабрика Белокалитвинская» на рентабельный уровень работ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7C546E" w:rsidRDefault="007C54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546E" w:rsidRDefault="0050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Показатель 6.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 </w:t>
      </w:r>
    </w:p>
    <w:p w:rsidR="007C546E" w:rsidRDefault="0050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автомобильных дорог общего пользован</w:t>
      </w:r>
      <w:r>
        <w:rPr>
          <w:rFonts w:ascii="Times New Roman" w:hAnsi="Times New Roman" w:cs="Times New Roman"/>
          <w:sz w:val="28"/>
          <w:szCs w:val="28"/>
        </w:rPr>
        <w:t xml:space="preserve">ия местного значения, не отвечающих нормативным требованиям, в 2015 году составила 53,03%. В отчетном году работа по ремонту, содержанию и строительству автомобильных дорог велась активно: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произведена реконструкция автомобильной дороги 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«г. Шахты - г. Белая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lastRenderedPageBreak/>
        <w:t xml:space="preserve">Калитва» к х. Дубовой Белокалитвинского района» протяженностью 2,85 км,  построено 3 автомобильных дороги к строящимся детским садам, общей протяженностью 0,9 км и капитально отремонтировано 0,8 км подъездной  дороги по ул. Кирова к МБДОУ ДС «Теремок»  в 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п. Сосны  Белокалитвинского района. Также в 2015 году проведена паспортизация автомобильных дорог общего пользования местного значения, в результате которой уменьшилась общая протяженность автомобильных дорог.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оэтому по сравнению с 2014 годом данный показ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атель снизился на 5,94%. </w:t>
      </w:r>
    </w:p>
    <w:p w:rsidR="007C546E" w:rsidRDefault="005033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планируется продолжать принимать меры по приведению автомобильных дорог общего пользования местного значения к нормативным требованиям, и довести значение данного показателя до 52,6%, в 2017 году - до 52,00%, в 2018 го</w:t>
      </w:r>
      <w:r>
        <w:rPr>
          <w:rFonts w:ascii="Times New Roman" w:hAnsi="Times New Roman" w:cs="Times New Roman"/>
          <w:sz w:val="28"/>
          <w:szCs w:val="28"/>
        </w:rPr>
        <w:t>ду - до 51,8%.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C546E" w:rsidRDefault="007C54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546E" w:rsidRDefault="0050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Показатель 7. 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</w:t>
      </w:r>
      <w:r>
        <w:rPr>
          <w:rFonts w:ascii="Times New Roman" w:hAnsi="Times New Roman" w:cs="Times New Roman"/>
          <w:b/>
          <w:sz w:val="28"/>
          <w:szCs w:val="28"/>
        </w:rPr>
        <w:t>одского округа (муниципального района).</w:t>
      </w:r>
    </w:p>
    <w:p w:rsidR="007C546E" w:rsidRDefault="0050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 января 2016 года на территории Белокалитвинского района расположены 15 населенных пунктов с общей численностью 784 человека, которые не имеют регулярного автобусного и (или) железнодорожного сообщен</w:t>
      </w:r>
      <w:r>
        <w:rPr>
          <w:rFonts w:ascii="Times New Roman" w:hAnsi="Times New Roman" w:cs="Times New Roman"/>
          <w:sz w:val="28"/>
          <w:szCs w:val="28"/>
        </w:rPr>
        <w:t>ия с административным центром - город Белая Калитва. В результате этого доля населения, проживающего в данных  населенных пунктах, составила 0,78%. По отношению к 2014 году показатель улучшен на 0,02 процентных пункта в связи с обеспечением пассажирским тр</w:t>
      </w:r>
      <w:r>
        <w:rPr>
          <w:rFonts w:ascii="Times New Roman" w:hAnsi="Times New Roman" w:cs="Times New Roman"/>
          <w:sz w:val="28"/>
          <w:szCs w:val="28"/>
        </w:rPr>
        <w:t>анспортом 72 жителей хутора Почтовый.</w:t>
      </w:r>
    </w:p>
    <w:p w:rsidR="007C546E" w:rsidRDefault="0050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Причины отсутствия автобусного сообщения, это: </w:t>
      </w:r>
    </w:p>
    <w:p w:rsidR="007C546E" w:rsidRDefault="0050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малая численность проживающих в населенных пунктах (от 8 человек до 90 человек), являющаяся основным фактором, влияющим на непредставление межбюджетных трансфертов на с</w:t>
      </w:r>
      <w:r>
        <w:rPr>
          <w:rFonts w:ascii="Times New Roman" w:hAnsi="Times New Roman" w:cs="Times New Roman"/>
          <w:sz w:val="28"/>
          <w:szCs w:val="28"/>
        </w:rPr>
        <w:t>троительство дорог;</w:t>
      </w:r>
    </w:p>
    <w:p w:rsidR="007C546E" w:rsidRDefault="0050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большая отдаленность от административного центра, в связи с чем движение пассажирского автотранспорта является нерентабельным, а также несоответствие отдельных автомобильных дорог нормативным требованиям по обеспечению безопасности до</w:t>
      </w:r>
      <w:r>
        <w:rPr>
          <w:rFonts w:ascii="Times New Roman" w:hAnsi="Times New Roman" w:cs="Times New Roman"/>
          <w:sz w:val="28"/>
          <w:szCs w:val="28"/>
        </w:rPr>
        <w:t>рожного движения.</w:t>
      </w:r>
    </w:p>
    <w:p w:rsidR="007C546E" w:rsidRDefault="0050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Белокалитвинского района продолжает взаимодействовать с руководителями организаций, осуществляющих пассажирские перевозки, по вопросу внесения изменений в схемы движения автотранспорта и охвата ранее не обеспеченного пассажи</w:t>
      </w:r>
      <w:r>
        <w:rPr>
          <w:rFonts w:ascii="Times New Roman" w:hAnsi="Times New Roman" w:cs="Times New Roman"/>
          <w:sz w:val="28"/>
          <w:szCs w:val="28"/>
        </w:rPr>
        <w:t>рскими перевозками населения, что позволит снизить значение  показателя в 2016 году - до 0,77%, в 2017 году - до 0,76%, в 2018 году - до 0,75%.</w:t>
      </w:r>
    </w:p>
    <w:p w:rsidR="007C546E" w:rsidRDefault="007C5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46E" w:rsidRDefault="0050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Показатель 8. Среднемесячная номинальная заработная плата работников: крупных и средних предприятий и некоммерч</w:t>
      </w:r>
      <w:r>
        <w:rPr>
          <w:rFonts w:ascii="Times New Roman" w:hAnsi="Times New Roman" w:cs="Times New Roman"/>
          <w:b/>
          <w:sz w:val="28"/>
          <w:szCs w:val="28"/>
        </w:rPr>
        <w:t>еских организаций Белокалитвинского района; муниципальных дошкольных образовательных учреждений; муниципальных общеобразовательных учреждений; муниципальных учреждений культуры и искусства; муниципальных учреждений физической культуры  и спорта.</w:t>
      </w:r>
    </w:p>
    <w:p w:rsidR="007C546E" w:rsidRDefault="0050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 году среднемесячная номинальная заработная плата работников крупных и средних предприятий и некоммерческих организаций Белокалитвинского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района увеличилась по сравнению с 2014 годом на </w:t>
      </w:r>
      <w:r>
        <w:rPr>
          <w:rFonts w:ascii="Times New Roman" w:hAnsi="Times New Roman" w:cs="Times New Roman"/>
          <w:sz w:val="28"/>
          <w:szCs w:val="28"/>
        </w:rPr>
        <w:t>5,60% и составила 21133,60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7C546E" w:rsidRDefault="0050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Рост среднемесячной номинальной заработной платы работников обусловлен доведением минимального размера оплаты труда до величины прожиточного минимума трудоспособного населения в Ростовской области на предприятиях внебюджетной сферы. На 2016-2018 годы прогн</w:t>
      </w:r>
      <w:r>
        <w:rPr>
          <w:rFonts w:ascii="Times New Roman" w:hAnsi="Times New Roman" w:cs="Times New Roman"/>
          <w:sz w:val="28"/>
          <w:szCs w:val="28"/>
        </w:rPr>
        <w:t xml:space="preserve">озируется увеличение среднемесячной заработной платы и доведение её к 2018 году до 25315 рублей. </w:t>
      </w:r>
    </w:p>
    <w:p w:rsidR="007C546E" w:rsidRDefault="0050337A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2015 году среднемесячная начисленная заработная плата работников муниципальных дошкольных образовательных учреждений составила 13468,60 рублей и увеличилас</w:t>
      </w:r>
      <w:r>
        <w:rPr>
          <w:rFonts w:ascii="Times New Roman" w:hAnsi="Times New Roman" w:cs="Times New Roman"/>
          <w:sz w:val="28"/>
          <w:szCs w:val="28"/>
          <w:lang w:eastAsia="ru-RU"/>
        </w:rPr>
        <w:t>ь по сравнению с 2014 годом на 1013,90 рублей в связи с увеличением минимального размера оплаты труда  с 5554 рублей в 2014 году до 5965 рублей в 2015 году, и доведением средней заработной платы педагогических работников дошкольных образовательных учрежден</w:t>
      </w:r>
      <w:r>
        <w:rPr>
          <w:rFonts w:ascii="Times New Roman" w:hAnsi="Times New Roman" w:cs="Times New Roman"/>
          <w:sz w:val="28"/>
          <w:szCs w:val="28"/>
          <w:lang w:eastAsia="ru-RU"/>
        </w:rPr>
        <w:t>ий до 100% средней заработной платы в сфере общего образования в Ростовской области в соответствии с Указом Президента Российской Федерации от 07.05.2012 №597 «О мероприятиях по реализации государственной социальной политики». Рост среднемесячной начисленн</w:t>
      </w:r>
      <w:r>
        <w:rPr>
          <w:rFonts w:ascii="Times New Roman" w:hAnsi="Times New Roman" w:cs="Times New Roman"/>
          <w:sz w:val="28"/>
          <w:szCs w:val="28"/>
          <w:lang w:eastAsia="ru-RU"/>
        </w:rPr>
        <w:t>ой заработной платы работников муниципальных дошкольных образовательных учреждений в 2016-2018 годах обусловлен продолжающимся поэтапным повышением заработной платы педагогических работников .</w:t>
      </w:r>
    </w:p>
    <w:p w:rsidR="007C546E" w:rsidRDefault="0050337A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2015 году среднемесячная начисленная заработная плата работни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ков муниципальных общеобразовательных учреждений составила 20334,40 рублей и увеличилась по сравнению с 2014 годом на 809,00 рублей в связи с увеличением минимального размера оплаты труда  с 5554 рублей в 2014 году до 5965 рублей в 2015 году, и доведением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>средней заработной платы педагогических работников дошкольных образовательных учреждений до 100% средней заработной платы в сфере общего образования в Ростовской области в соответствии с Указом Президента Российской Федерации от 07.05.2012 №597 «О мероприя</w:t>
      </w:r>
      <w:r>
        <w:rPr>
          <w:rFonts w:ascii="Times New Roman" w:hAnsi="Times New Roman" w:cs="Times New Roman"/>
          <w:sz w:val="28"/>
          <w:szCs w:val="28"/>
          <w:lang w:eastAsia="ru-RU"/>
        </w:rPr>
        <w:t>тиях по реализации государственной социальной политики». Рост среднемесячной начисленной заработной платы работников муниципальных общеобразовательных учреждений в 2016-2018 годах обусловлен продолжающимся поэтапным повышением заработной платы педагогическ</w:t>
      </w:r>
      <w:r>
        <w:rPr>
          <w:rFonts w:ascii="Times New Roman" w:hAnsi="Times New Roman" w:cs="Times New Roman"/>
          <w:sz w:val="28"/>
          <w:szCs w:val="28"/>
          <w:lang w:eastAsia="ru-RU"/>
        </w:rPr>
        <w:t>их работников.</w:t>
      </w:r>
    </w:p>
    <w:p w:rsidR="007C546E" w:rsidRDefault="0050337A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2015 году среднемесячная начисленная заработная плата учителей муниципальных общеобразовательных  учреждений составила 26939,30 рублей и увеличилась по сравнению с 2014 годом на 351,90 рублей в связи с увеличением минимального размера опл</w:t>
      </w:r>
      <w:r>
        <w:rPr>
          <w:rFonts w:ascii="Times New Roman" w:hAnsi="Times New Roman" w:cs="Times New Roman"/>
          <w:sz w:val="28"/>
          <w:szCs w:val="28"/>
          <w:lang w:eastAsia="ru-RU"/>
        </w:rPr>
        <w:t>аты труда  с 5554 рублей в 2014 году до 5965 рублей в 2015 году, и доведением средней заработной платы педагогических работников дошкольных образовательных учреждений до 100% средней заработной платы в сфере общего образования в Ростовской области в соотве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тствии с Указом Президента Российской Федерации от 07.05.2012 №597 «О мероприятиях по реализации государственной социальной политики». Рост среднемесячной начисленной заработной платы учителей муниципальных общеобразовательных учреждений в 2016-2018 годах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обусловлен продолжающимся поэтапным повышением заработной платы учителей.</w:t>
      </w:r>
    </w:p>
    <w:p w:rsidR="007C546E" w:rsidRDefault="0050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среднемесячная начисленная заработная плата работников муниципальных учреждений культуры и искусства составила 15299,3 рублей и уменьшилась по сравнению с 2014 годом на 6</w:t>
      </w:r>
      <w:r>
        <w:rPr>
          <w:rFonts w:ascii="Times New Roman" w:hAnsi="Times New Roman" w:cs="Times New Roman"/>
          <w:sz w:val="28"/>
          <w:szCs w:val="28"/>
        </w:rPr>
        <w:t xml:space="preserve">27,60 рублей.  В 2016 году ожидается сохранение показателя на уровне 2015 года. В прогнозируемый период уровень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среднемесячной номинальной заработной платы работников учреждений культуры и искусства будет повышаться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 реализацией Указа Прези</w:t>
      </w:r>
      <w:r>
        <w:rPr>
          <w:rFonts w:ascii="Times New Roman" w:hAnsi="Times New Roman" w:cs="Times New Roman"/>
          <w:sz w:val="28"/>
          <w:szCs w:val="28"/>
          <w:lang w:eastAsia="ru-RU"/>
        </w:rPr>
        <w:t>дента Российской Федерации от 07.05.2012 №597 «О мероприятиях по реализации государственной социальной политики» и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Белокалитвинского района от 24.04.2013 №613 «Об утверждении Плана мероприятий («дорожной карты»). </w:t>
      </w:r>
    </w:p>
    <w:p w:rsidR="007C546E" w:rsidRDefault="0050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Среднемесячная</w:t>
      </w:r>
      <w:r>
        <w:rPr>
          <w:rFonts w:ascii="Times New Roman" w:hAnsi="Times New Roman" w:cs="Times New Roman"/>
          <w:sz w:val="28"/>
          <w:szCs w:val="28"/>
        </w:rPr>
        <w:t xml:space="preserve"> начисленная заработная плата работников муниципальных  учреждений физической культуры и спорта не отражена по итогам 2015 года и в дальнейшем не прогнозируется в связи с тем, что единственное муниципальное учреждение данного профиля (МБОУ ДОД «ДЮСШ №3») и</w:t>
      </w:r>
      <w:r>
        <w:rPr>
          <w:rFonts w:ascii="Times New Roman" w:hAnsi="Times New Roman" w:cs="Times New Roman"/>
          <w:sz w:val="28"/>
          <w:szCs w:val="28"/>
        </w:rPr>
        <w:t>зменило в 2014 году ОКВЭД и стало учреждением дополнительного образования детей.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C546E" w:rsidRDefault="005033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C546E" w:rsidRDefault="005033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Дошкольное образование</w:t>
      </w:r>
    </w:p>
    <w:p w:rsidR="007C546E" w:rsidRDefault="007C54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46E" w:rsidRDefault="0050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Показатель 9. Доля детей в возрасте 1 - 6 лет, получающих дошкольную образовательную услугу и (или) услугу по их содержанию в муни</w:t>
      </w:r>
      <w:r>
        <w:rPr>
          <w:rFonts w:ascii="Times New Roman" w:hAnsi="Times New Roman" w:cs="Times New Roman"/>
          <w:b/>
          <w:sz w:val="28"/>
          <w:szCs w:val="28"/>
        </w:rPr>
        <w:t xml:space="preserve">ципальных образовательных учреждениях в общей численности детей в возрасте 1 - 6 лет. </w:t>
      </w:r>
    </w:p>
    <w:p w:rsidR="007C546E" w:rsidRDefault="0050337A">
      <w:pPr>
        <w:tabs>
          <w:tab w:val="left" w:pos="0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В 2015 году по отношению к 2014 году данный показатель вырос на 3,20 % и составил 57,00%.</w:t>
      </w:r>
    </w:p>
    <w:p w:rsidR="007C546E" w:rsidRDefault="0050337A">
      <w:pPr>
        <w:tabs>
          <w:tab w:val="left" w:pos="0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Рост значения данного показателя связан с введением 395 мест после капитально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 ремонта МБДОУ ДС № 42 «Дюймовочка» и МБДОУ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№ 40 «Золотой петушок», а также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50 мест 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МБДОУ ДС № 43 «Колобок»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связи с приобретением модульного детского сада. </w:t>
      </w:r>
    </w:p>
    <w:p w:rsidR="007C546E" w:rsidRDefault="0050337A">
      <w:pPr>
        <w:tabs>
          <w:tab w:val="left" w:pos="0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2018 году данный показатель планируется увеличить до 70,00% </w:t>
      </w:r>
      <w:r>
        <w:rPr>
          <w:rFonts w:ascii="Times New Roman" w:hAnsi="Times New Roman" w:cs="Times New Roman"/>
          <w:sz w:val="28"/>
          <w:szCs w:val="28"/>
          <w:lang w:eastAsia="ru-RU"/>
        </w:rPr>
        <w:t>в связи с планируемым введением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действие трёх строящихся детских садов на 460 мест. </w:t>
      </w:r>
    </w:p>
    <w:p w:rsidR="007C546E" w:rsidRDefault="007C546E">
      <w:pPr>
        <w:tabs>
          <w:tab w:val="left" w:pos="0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C546E" w:rsidRDefault="0050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Показатель 10. 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лет. </w:t>
      </w:r>
    </w:p>
    <w:p w:rsidR="007C546E" w:rsidRDefault="0050337A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2015 году 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отношению к 2014 году данный показатель снизился на 2,40% и составил 17,60%.</w:t>
      </w:r>
    </w:p>
    <w:p w:rsidR="007C546E" w:rsidRDefault="0050337A">
      <w:pPr>
        <w:tabs>
          <w:tab w:val="left" w:pos="0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Уменьшение данного показателя объясняется введением 395 мест после капитального ремонта МБДОУ ДС № 42 «Дюймовочка» и МБДОУ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№ 40 «Золотой петушок», а также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50 мест 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МБДОУ ДС № 43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«Колобок»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связи с приобретением модульного детского сада. </w:t>
      </w:r>
    </w:p>
    <w:p w:rsidR="007C546E" w:rsidRDefault="0050337A">
      <w:pPr>
        <w:tabs>
          <w:tab w:val="left" w:pos="0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2018 году данный показатель планируется довести до 6,00% в связи с планируемым введением в действие трёх строящихся детских садов на 460 мест.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7C546E" w:rsidRDefault="007C546E">
      <w:pPr>
        <w:tabs>
          <w:tab w:val="left" w:pos="0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C546E" w:rsidRDefault="0050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Показатель 11. Доля муниципальных дошкольных об</w:t>
      </w:r>
      <w:r>
        <w:rPr>
          <w:rFonts w:ascii="Times New Roman" w:hAnsi="Times New Roman" w:cs="Times New Roman"/>
          <w:b/>
          <w:sz w:val="28"/>
          <w:szCs w:val="28"/>
        </w:rPr>
        <w:t>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учреждений.</w:t>
      </w:r>
    </w:p>
    <w:p w:rsidR="007C546E" w:rsidRDefault="0050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данный показатель остался на уровне 2014 года и составил 2,30%. Это св</w:t>
      </w:r>
      <w:r>
        <w:rPr>
          <w:rFonts w:ascii="Times New Roman" w:hAnsi="Times New Roman" w:cs="Times New Roman"/>
          <w:sz w:val="28"/>
          <w:szCs w:val="28"/>
        </w:rPr>
        <w:t xml:space="preserve">язано с тем, что количество муниципальных дошкольных образовательных организаций, здания которых находятся в аварийном состоянии или требуют капитального ремонта, составило 1 единицу (детский сад № 27). </w:t>
      </w:r>
    </w:p>
    <w:p w:rsidR="007C546E" w:rsidRDefault="0050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2016-2018 годах данный показатель прогнозируется на уровне 2015 года - 2,30%. </w:t>
      </w:r>
    </w:p>
    <w:p w:rsidR="007C546E" w:rsidRDefault="005033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C546E" w:rsidRDefault="005033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Общее и дополнительное образование</w:t>
      </w:r>
    </w:p>
    <w:p w:rsidR="007C546E" w:rsidRDefault="007C54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46E" w:rsidRDefault="005033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Показатель 12. Доля выпускников муниципальных общеобразовательных учреждений, сдавших единый государственный экзамен по русскому язы</w:t>
      </w:r>
      <w:r>
        <w:rPr>
          <w:rFonts w:ascii="Times New Roman" w:hAnsi="Times New Roman" w:cs="Times New Roman"/>
          <w:b/>
          <w:sz w:val="28"/>
          <w:szCs w:val="28"/>
        </w:rPr>
        <w:t>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предметам.</w:t>
      </w:r>
    </w:p>
    <w:p w:rsidR="007C546E" w:rsidRDefault="005033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Доля выпускников, сдавших единый государственный экзамен по русскому языку и математике в 2015 году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увеличилась  по отношению к 2014 году на 4,67% и составила 99,67%. Рост данного показателя связан с улучшением качества подготовки обучающихся к государственной итоговой аттестации. </w:t>
      </w:r>
    </w:p>
    <w:p w:rsidR="007C546E" w:rsidRDefault="005033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2016-2018 годах данный показатель планируется на уровне 100,00%.</w:t>
      </w:r>
    </w:p>
    <w:p w:rsidR="007C546E" w:rsidRDefault="007C54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546E" w:rsidRDefault="005033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Показатель 13. 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46E" w:rsidRDefault="005033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Доля выпускников, не получивших аттестаты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2015 году, уменьшилась по отношению к 2014 году на 0,48% и составила 0,33%. Снижение данного показателя связано с улучшением качества подготовки обучающихся к государственной итоговой аттестации. </w:t>
      </w:r>
    </w:p>
    <w:p w:rsidR="007C546E" w:rsidRDefault="005033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2016-2018 годах данный показатель планируется свести к ну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лю.</w:t>
      </w:r>
    </w:p>
    <w:p w:rsidR="007C546E" w:rsidRDefault="007C54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546E" w:rsidRDefault="0050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Показатель 14.  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учреждений.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C546E" w:rsidRDefault="0050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доля общеобразовательных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организаций, здания которых находятся в аварийном состоянии или требуют капитального ремонта, осталась на уровне 2014 года и составила 2,38 % (МБОУ СОШ № 3).</w:t>
      </w:r>
    </w:p>
    <w:p w:rsidR="007C546E" w:rsidRDefault="005033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2016-2018 годах планируется сохранение данного показателя  на уровне 2,38%.</w:t>
      </w:r>
    </w:p>
    <w:p w:rsidR="007C546E" w:rsidRDefault="007C54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546E" w:rsidRDefault="005033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Показатель 15. Дол</w:t>
      </w:r>
      <w:r>
        <w:rPr>
          <w:rFonts w:ascii="Times New Roman" w:hAnsi="Times New Roman" w:cs="Times New Roman"/>
          <w:b/>
          <w:sz w:val="28"/>
          <w:szCs w:val="28"/>
        </w:rPr>
        <w:t>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C546E" w:rsidRDefault="0050337A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2015 году данный показатель повысился по отношению к 2014 году на 0,48% и составил 76,24%.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Рост данного показателя связан с созданием доступной среды в трёх общеобразовательных организациях (МБОУ СОШ № 5, № 10, № 15).</w:t>
      </w:r>
    </w:p>
    <w:p w:rsidR="007C546E" w:rsidRDefault="0050337A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 2018 году планируется довести значение данного показателя до 80,00%.</w:t>
      </w:r>
    </w:p>
    <w:p w:rsidR="007C546E" w:rsidRDefault="007C54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546E" w:rsidRDefault="005033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Показатель 16. Доля детей первой и второй групп здоровья</w:t>
      </w:r>
      <w:r>
        <w:rPr>
          <w:rFonts w:ascii="Times New Roman" w:hAnsi="Times New Roman" w:cs="Times New Roman"/>
          <w:b/>
          <w:sz w:val="28"/>
          <w:szCs w:val="28"/>
        </w:rPr>
        <w:t xml:space="preserve"> в общей численности обучающихся в муниципальных общеобразовательных учреждениях.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C546E" w:rsidRDefault="0050337A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Доля детей 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групп здоровья среди школьников остаётся стабильно высокой. В 2015 году данный показатель увеличился по отношению к 2014 году на 3,19% и составил 90,30%. 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ост данного показателя связан с повышением качества медицинского обслуживания и внедрением здоровьесберегающих технологий в общеобразовательных организациях.</w:t>
      </w:r>
    </w:p>
    <w:p w:rsidR="007C546E" w:rsidRDefault="0050337A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 2018 году планируется увеличение данного показателя до 93,00%.</w:t>
      </w:r>
    </w:p>
    <w:p w:rsidR="007C546E" w:rsidRDefault="007C546E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546E" w:rsidRDefault="0050337A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Показатель 17. Доля обучающихся </w:t>
      </w:r>
      <w:r>
        <w:rPr>
          <w:rFonts w:ascii="Times New Roman" w:hAnsi="Times New Roman" w:cs="Times New Roman"/>
          <w:b/>
          <w:sz w:val="28"/>
          <w:szCs w:val="28"/>
        </w:rPr>
        <w:t>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C546E" w:rsidRDefault="0050337A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Доля обучающихся в муниципальных общеобразовательных организациях, занимающихся во 2 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мену, в 2015 году снизилась на 2,09 процентных пункта и составила 13,23%. Улучшение данного показателя связано с использованием внутренних резервов общеобразовательных организаций города. </w:t>
      </w:r>
    </w:p>
    <w:p w:rsidR="007C546E" w:rsidRDefault="0050337A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прогнозируемом периоде ожидается рост данного показателя до 21,50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% в 2018 году в связи с ростом количества обучающихся общеобразовательных организаций.</w:t>
      </w:r>
    </w:p>
    <w:p w:rsidR="007C546E" w:rsidRDefault="007C546E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C546E" w:rsidRDefault="0050337A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Показатель 18. Расходы бюджета муниципального образования на общее образование в расчете на 1 обучающегося в муниципальных общеобразовательных учреждениях.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</w:p>
    <w:p w:rsidR="007C546E" w:rsidRDefault="0050337A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Расходы </w:t>
      </w:r>
      <w:r>
        <w:rPr>
          <w:rFonts w:ascii="Times New Roman" w:hAnsi="Times New Roman" w:cs="Times New Roman"/>
          <w:sz w:val="28"/>
          <w:szCs w:val="28"/>
          <w:lang w:eastAsia="ru-RU"/>
        </w:rPr>
        <w:t>бюджета муниципального образования на общее образование в расчете на одного обучающегося в муниципальных общеобразовательных организациях в 2015 году увеличились на 1,33 тыс. рублей и составили 67,46 тыс. рублей. Рост данного показателя связан с увеличение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м расходов бюджетов всех уровней на общее образование.</w:t>
      </w:r>
    </w:p>
    <w:p w:rsidR="007C546E" w:rsidRDefault="0050337A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2016-2018 годах прогнозируется рост данного показателя с 67,70 тыс. рублей до 70,00 тыс. рублей.</w:t>
      </w:r>
    </w:p>
    <w:p w:rsidR="007C546E" w:rsidRDefault="007C54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546E" w:rsidRDefault="0050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Показатель 19. Доля детей в возрасте 5 - 18 лет, получающих услуги по дополнительному образованию в о</w:t>
      </w:r>
      <w:r>
        <w:rPr>
          <w:rFonts w:ascii="Times New Roman" w:hAnsi="Times New Roman" w:cs="Times New Roman"/>
          <w:b/>
          <w:sz w:val="28"/>
          <w:szCs w:val="28"/>
        </w:rPr>
        <w:t xml:space="preserve">рганизациях различной организационно-правовой формы и формы собственности, в общей численности детей данной возрастной группы. </w:t>
      </w:r>
    </w:p>
    <w:p w:rsidR="007C546E" w:rsidRDefault="005033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В 2015 году доля детей в возрасте 5-18 лет, получающих услуги по дополнительному образованию в образовательных организациях допо</w:t>
      </w:r>
      <w:r>
        <w:rPr>
          <w:rFonts w:ascii="Times New Roman" w:hAnsi="Times New Roman" w:cs="Times New Roman"/>
          <w:sz w:val="28"/>
          <w:szCs w:val="28"/>
        </w:rPr>
        <w:t>лнительного образования, увеличилась  на  0, 40%  и составила 81,00%. Рост данного показателя связан с увеличением числа занимающихся в кружках и секциях в организациях дополнительного образования.</w:t>
      </w:r>
    </w:p>
    <w:p w:rsidR="007C546E" w:rsidRDefault="005033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2016-2018 годах планируется сохранение доли занимающихся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уровне 81,00%.</w:t>
      </w:r>
    </w:p>
    <w:p w:rsidR="007C546E" w:rsidRDefault="007C54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46E" w:rsidRDefault="005033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IV. Культура</w:t>
      </w:r>
    </w:p>
    <w:p w:rsidR="007C546E" w:rsidRDefault="007C54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46E" w:rsidRDefault="0050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Показатель 20. Уровень фактической обеспеченности учреждениями культуры от нормативной потребности: клубами и учреждениями клубного типа, библиотеками, парками культуры и отдыха.</w:t>
      </w:r>
    </w:p>
    <w:p w:rsidR="007C546E" w:rsidRDefault="0050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Уровень фактической обеспеченности культурн</w:t>
      </w:r>
      <w:r>
        <w:rPr>
          <w:rFonts w:ascii="Times New Roman" w:hAnsi="Times New Roman" w:cs="Times New Roman"/>
          <w:sz w:val="28"/>
          <w:szCs w:val="28"/>
        </w:rPr>
        <w:t xml:space="preserve">о-досуговыми учреждениями от нормативной потребности в 2014-2015 годах составил 75,86%. В 2016 году планируется увеличение этого показателя до 90% в связи с планируемым открытием на территории г. Белая Калитва в октябре 2016 Центра культурного развития. </w:t>
      </w:r>
    </w:p>
    <w:p w:rsidR="007C546E" w:rsidRDefault="0050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иблиотеками район обеспечен в 2014-2015 годах на 97,62% от нормативной потребности. В плановом периоде ожидается доведение данного показателя до 100% в связи с прогнозируемой убылью населения.</w:t>
      </w:r>
    </w:p>
    <w:p w:rsidR="007C546E" w:rsidRDefault="005033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фактической обеспеченности парками культуры и отдыха в </w:t>
      </w:r>
      <w:r>
        <w:rPr>
          <w:rFonts w:ascii="Times New Roman" w:hAnsi="Times New Roman" w:cs="Times New Roman"/>
          <w:sz w:val="28"/>
          <w:szCs w:val="28"/>
        </w:rPr>
        <w:t>Белокалитвинском районе составляет 100% от нормативной потребности и сохранится на планируемый период.</w:t>
      </w:r>
    </w:p>
    <w:p w:rsidR="007C546E" w:rsidRDefault="007C54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546E" w:rsidRDefault="0050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Показатель  21. Доля муниципальных учреждений культуры, здания которых находятся в аварийном состоянии или требуют капитального ремонта, в общем количес</w:t>
      </w:r>
      <w:r>
        <w:rPr>
          <w:rFonts w:ascii="Times New Roman" w:hAnsi="Times New Roman" w:cs="Times New Roman"/>
          <w:b/>
          <w:sz w:val="28"/>
          <w:szCs w:val="28"/>
        </w:rPr>
        <w:t>тве муниципальных учреждений культуры.</w:t>
      </w:r>
    </w:p>
    <w:p w:rsidR="007C546E" w:rsidRDefault="005033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муниципальных учреждений культуры, здания которых требуют капитального ремонта, в 2014 году составила 30,70%, в 2015 году увеличилась до 48,03% в связи с проведением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дополнительного обследования и выявлением здан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ий, требующих капитального ремонта. В 2016-2018 годах прогнозируется сохранение значения показателя на уровне 48,03%. </w:t>
      </w:r>
    </w:p>
    <w:p w:rsidR="007C546E" w:rsidRDefault="007C54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546E" w:rsidRDefault="0050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Показатель 22. Доля объектов культурного наследия, находящихся в муниципальной собственности и требующих консервации или реставрации, в </w:t>
      </w:r>
      <w:r>
        <w:rPr>
          <w:rFonts w:ascii="Times New Roman" w:hAnsi="Times New Roman" w:cs="Times New Roman"/>
          <w:b/>
          <w:sz w:val="28"/>
          <w:szCs w:val="28"/>
        </w:rPr>
        <w:t>общем количестве объектов культурного наследия, находящихся в муниципальной собственности.</w:t>
      </w:r>
    </w:p>
    <w:p w:rsidR="007C546E" w:rsidRDefault="0050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объектов культурного наследия, находящихся в муниципальной собственности и требующих консервации или реставрации в 2015 году сохранилась на уровне 2014 года и с</w:t>
      </w:r>
      <w:r>
        <w:rPr>
          <w:rFonts w:ascii="Times New Roman" w:hAnsi="Times New Roman" w:cs="Times New Roman"/>
          <w:sz w:val="28"/>
          <w:szCs w:val="28"/>
        </w:rPr>
        <w:t xml:space="preserve">оставила 50%. К 2018 году значение показателя составит 25% в связи с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запланированной реконструкцией одного объекта культурного наследия, находящегося в муниципальной собственности Белокалитвинского района.</w:t>
      </w:r>
    </w:p>
    <w:p w:rsidR="007C546E" w:rsidRDefault="007C5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46E" w:rsidRDefault="005033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V. Физическая культура и спорт</w:t>
      </w:r>
    </w:p>
    <w:p w:rsidR="007C546E" w:rsidRDefault="007C54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546E" w:rsidRDefault="0050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Показатель 23. Доля населения, систематически занимающегося физической культурой и спортом. </w:t>
      </w:r>
    </w:p>
    <w:p w:rsidR="007C546E" w:rsidRDefault="0050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населения, систематически занимающегося физической культурой и спортом, по отношению к 2014 году увеличилась на 2,41 процентных пункта и составила в 2015 году</w:t>
      </w:r>
      <w:r>
        <w:rPr>
          <w:rFonts w:ascii="Times New Roman" w:hAnsi="Times New Roman" w:cs="Times New Roman"/>
          <w:sz w:val="28"/>
          <w:szCs w:val="28"/>
        </w:rPr>
        <w:t xml:space="preserve"> 33,30% от общего числа жителей в связи с ростом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численности школьников, занимающихся спортом, </w:t>
      </w:r>
      <w:r>
        <w:rPr>
          <w:rFonts w:ascii="Times New Roman" w:hAnsi="Times New Roman" w:cs="Times New Roman"/>
          <w:sz w:val="28"/>
          <w:szCs w:val="28"/>
        </w:rPr>
        <w:t xml:space="preserve">вводом в эксплуатацию  открытой плоскостной спортивной площадки и тренажёрной площадки, построенной фондом «Устойчивое развитие»  АО «Алюминий Металлург Рус». </w:t>
      </w:r>
    </w:p>
    <w:p w:rsidR="007C546E" w:rsidRDefault="005033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прогнозируемом периоде на территории района планируется следующее:</w:t>
      </w:r>
    </w:p>
    <w:p w:rsidR="007C546E" w:rsidRDefault="0050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увеличение плоскостных спортивных сооружений для повышения уровня фактической обеспеченности населения, которое обусловлено ежегодным строительством таких объектов на территориях городск</w:t>
      </w:r>
      <w:r>
        <w:rPr>
          <w:rFonts w:ascii="Times New Roman" w:hAnsi="Times New Roman" w:cs="Times New Roman"/>
          <w:bCs/>
          <w:sz w:val="28"/>
          <w:szCs w:val="28"/>
        </w:rPr>
        <w:t xml:space="preserve">их и сельских поселений Белокалитвинского района (Белокалитвинское городское поселение -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многофункциональная спортивная площадка «Газпром - детям» и многофункциональный спортивный зал в МБУ ДО «ДЮСШ № 2»); </w:t>
      </w:r>
    </w:p>
    <w:p w:rsidR="007C546E" w:rsidRDefault="005033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количества населения, принимающего у</w:t>
      </w:r>
      <w:r>
        <w:rPr>
          <w:rFonts w:ascii="Times New Roman" w:hAnsi="Times New Roman" w:cs="Times New Roman"/>
          <w:sz w:val="28"/>
          <w:szCs w:val="28"/>
        </w:rPr>
        <w:t>частие в Спартакиаде Дона».</w:t>
      </w:r>
    </w:p>
    <w:p w:rsidR="007C546E" w:rsidRDefault="007C54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546E" w:rsidRDefault="0050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Показатель 23.1. Доля обучающихся, систематически занимающихся физической культурой и спортом, в общей численности обучающихся.</w:t>
      </w:r>
    </w:p>
    <w:p w:rsidR="007C546E" w:rsidRDefault="0050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обучающихся, систематически занимающихся физической культурой и спортом, в общей численности о</w:t>
      </w:r>
      <w:r>
        <w:rPr>
          <w:rFonts w:ascii="Times New Roman" w:hAnsi="Times New Roman" w:cs="Times New Roman"/>
          <w:sz w:val="28"/>
          <w:szCs w:val="28"/>
        </w:rPr>
        <w:t>бучающихся в 2015 году составила 78,12%.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прогнозируемом периоде планируется доведение значения данного показателя до 79,00% - в 2016 году, 80,00% - в 2017 году и 81,00% - в 2018 году в связи с реализацией </w:t>
      </w:r>
      <w:r>
        <w:rPr>
          <w:rFonts w:ascii="Times New Roman" w:hAnsi="Times New Roman" w:cs="Times New Roman"/>
          <w:sz w:val="28"/>
          <w:szCs w:val="28"/>
        </w:rPr>
        <w:t>мероприятий по внедрению Всероссийского спортивно</w:t>
      </w:r>
      <w:r>
        <w:rPr>
          <w:rFonts w:ascii="Times New Roman" w:hAnsi="Times New Roman" w:cs="Times New Roman"/>
          <w:sz w:val="28"/>
          <w:szCs w:val="28"/>
        </w:rPr>
        <w:t>го комплекса «Готов к труду и обороне».</w:t>
      </w:r>
    </w:p>
    <w:p w:rsidR="007C546E" w:rsidRDefault="007C5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46E" w:rsidRDefault="005033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VI. Жилищное строительство и обеспечение граждан жильем</w:t>
      </w:r>
    </w:p>
    <w:p w:rsidR="007C546E" w:rsidRDefault="007C54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C546E" w:rsidRDefault="0050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Показатель 24.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Общая площадь жилых помещений, приходящаяся в среднем на одного жителя,</w:t>
      </w:r>
      <w:r>
        <w:rPr>
          <w:rFonts w:ascii="Times New Roman" w:hAnsi="Times New Roman" w:cs="Times New Roman"/>
          <w:b/>
          <w:sz w:val="28"/>
          <w:szCs w:val="28"/>
        </w:rPr>
        <w:t xml:space="preserve"> в том числе введенная в действие за один год.</w:t>
      </w:r>
    </w:p>
    <w:p w:rsidR="007C546E" w:rsidRDefault="0050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Фактическая общая площадь</w:t>
      </w:r>
      <w:r>
        <w:rPr>
          <w:rFonts w:ascii="Times New Roman" w:hAnsi="Times New Roman" w:cs="Times New Roman"/>
          <w:sz w:val="28"/>
          <w:szCs w:val="28"/>
        </w:rPr>
        <w:t xml:space="preserve"> жилых помещений на 2015 год составила  25,14 кв. метров на одного жителя (в том числе введенная в действие за один год - 0,30 кв. метров), что на 0,55 кв. метров больше уровня 2014 года. Увеличение показателей к уровню 2014 года обусловлено строительством</w:t>
      </w:r>
      <w:r>
        <w:rPr>
          <w:rFonts w:ascii="Times New Roman" w:hAnsi="Times New Roman" w:cs="Times New Roman"/>
          <w:sz w:val="28"/>
          <w:szCs w:val="28"/>
        </w:rPr>
        <w:t xml:space="preserve"> многоквартирных жилых домов на отведенных земельных участках в 2014 году.</w:t>
      </w:r>
    </w:p>
    <w:p w:rsidR="007C546E" w:rsidRDefault="0050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планируется увеличение показателя до 25,54 кв. метров на одного жителя, в 2017 и 2018 годах - до 25,68 и 26,00 кв. метров соответственно, в связи с сохранением динамики </w:t>
      </w:r>
      <w:r>
        <w:rPr>
          <w:rFonts w:ascii="Times New Roman" w:hAnsi="Times New Roman" w:cs="Times New Roman"/>
          <w:sz w:val="28"/>
          <w:szCs w:val="28"/>
        </w:rPr>
        <w:t>превышения темпов строительства и предполагаемым строительством многоквартирных жилых домов над убылью населения.</w:t>
      </w:r>
    </w:p>
    <w:p w:rsidR="007C546E" w:rsidRDefault="0050337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Значение показателя общей площади жилых помещений, приходящейся в среднем на одного жителя,</w:t>
      </w:r>
      <w:r>
        <w:rPr>
          <w:rFonts w:ascii="Times New Roman" w:hAnsi="Times New Roman" w:cs="Times New Roman"/>
          <w:sz w:val="28"/>
          <w:szCs w:val="28"/>
        </w:rPr>
        <w:t xml:space="preserve"> введенной в действие за один год в </w:t>
      </w:r>
      <w:r>
        <w:rPr>
          <w:rFonts w:ascii="Times New Roman" w:hAnsi="Times New Roman" w:cs="Times New Roman"/>
          <w:sz w:val="28"/>
          <w:szCs w:val="28"/>
        </w:rPr>
        <w:t>2016-2018 годах незначительно снизится и составит на 0,30 - 0,21 кв.метров, что связано со сложившейся экономической ситуацией, в которой наметилась тенденция сокращения объемов вводимого жилья и уменьшения количества начинаемых строительством многоквартир</w:t>
      </w:r>
      <w:r>
        <w:rPr>
          <w:rFonts w:ascii="Times New Roman" w:hAnsi="Times New Roman" w:cs="Times New Roman"/>
          <w:sz w:val="28"/>
          <w:szCs w:val="28"/>
        </w:rPr>
        <w:t xml:space="preserve">ных жилых домов. </w:t>
      </w:r>
    </w:p>
    <w:p w:rsidR="007C546E" w:rsidRDefault="007C546E">
      <w:pPr>
        <w:spacing w:after="0" w:line="240" w:lineRule="auto"/>
        <w:ind w:firstLine="709"/>
        <w:jc w:val="both"/>
      </w:pPr>
    </w:p>
    <w:p w:rsidR="007C546E" w:rsidRDefault="005033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Показатель 25.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Площадь земельных участков, предоставленных для строительства в расчете на 10 тыс. человек населения,</w:t>
      </w: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том числе земельных участков, предоставленных для жилищного строительства, индивидуального строительства и комплексног</w:t>
      </w:r>
      <w:r>
        <w:rPr>
          <w:rFonts w:ascii="Times New Roman" w:hAnsi="Times New Roman" w:cs="Times New Roman"/>
          <w:b/>
          <w:sz w:val="28"/>
          <w:szCs w:val="28"/>
        </w:rPr>
        <w:t>о освоения в целях жилищного строительства.</w:t>
      </w:r>
    </w:p>
    <w:p w:rsidR="007C546E" w:rsidRDefault="005033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Фактическая площадь земельных участков, предоставленных для строительства, на 2015 год составила 1,38 га, в том числе для жилищного строительства - 1,00 га. Увеличение показателя к уровню 2014 года на 0,01 га дос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тигнуто за счет увеличения числа бесплатно предоставленных земельных участков гражданам, имеющим 3-х и более детей. </w:t>
      </w:r>
    </w:p>
    <w:p w:rsidR="007C546E" w:rsidRDefault="005033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2016-2018 годах прогнозируется увеличение показателя предоставления земельных участков за счет реализации проекта планировки, межевания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микрорайоне «Заречный-2» г. Белая Калитва.</w:t>
      </w:r>
    </w:p>
    <w:p w:rsidR="007C546E" w:rsidRDefault="007C54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546E" w:rsidRDefault="0050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Показатель 26. 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</w:t>
      </w:r>
      <w:r>
        <w:rPr>
          <w:rFonts w:ascii="Times New Roman" w:hAnsi="Times New Roman" w:cs="Times New Roman"/>
          <w:b/>
          <w:sz w:val="28"/>
          <w:szCs w:val="28"/>
        </w:rPr>
        <w:t>сов, аукционов) не было получено разрешение на ввод в эксплуатацию: объектов жилищного строительства - в течение 3 лет, иных объектов капитального строительства - в течение 5 лет.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C546E" w:rsidRDefault="0050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2014-2015 годах значение показателя «площадь земельных участков, предоста</w:t>
      </w:r>
      <w:r>
        <w:rPr>
          <w:rFonts w:ascii="Times New Roman" w:hAnsi="Times New Roman" w:cs="Times New Roman"/>
          <w:sz w:val="28"/>
          <w:szCs w:val="28"/>
        </w:rPr>
        <w:t>вленных для строительства, в отношении которых с даты принятия решения о предоставлении земельного участка не было получено разрешение на ввод в эксплуатацию по объектам жилищного строительства в течение 3 лет» равно «нулю» в связи с тем, что в отчетном пе</w:t>
      </w:r>
      <w:r>
        <w:rPr>
          <w:rFonts w:ascii="Times New Roman" w:hAnsi="Times New Roman" w:cs="Times New Roman"/>
          <w:sz w:val="28"/>
          <w:szCs w:val="28"/>
        </w:rPr>
        <w:t>риоде сокращены сроки строительства и ввода объектов жилищного строительства в эксплуатацию, т.е. сроки освоения земельных участков не превышают 3 лет.</w:t>
      </w:r>
    </w:p>
    <w:p w:rsidR="007C546E" w:rsidRDefault="0050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прогнозируемом периоде ситуация сохранится за счет исполнения программы строительства и своевременного</w:t>
      </w:r>
      <w:r>
        <w:rPr>
          <w:rFonts w:ascii="Times New Roman" w:hAnsi="Times New Roman" w:cs="Times New Roman"/>
          <w:sz w:val="28"/>
          <w:szCs w:val="28"/>
        </w:rPr>
        <w:t xml:space="preserve"> ввода объектов в эксплуатацию.</w:t>
      </w:r>
    </w:p>
    <w:p w:rsidR="007C546E" w:rsidRDefault="0050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2014-2015 годах, значение показателя «площадь земельных участков, предоставленных для строительства, в отношении которых с даты принятия решения о предоставлении земельного участка не было получено разрешение на ввод в </w:t>
      </w:r>
      <w:r>
        <w:rPr>
          <w:rFonts w:ascii="Times New Roman" w:hAnsi="Times New Roman" w:cs="Times New Roman"/>
          <w:sz w:val="28"/>
          <w:szCs w:val="28"/>
        </w:rPr>
        <w:t>эксплуатацию иных объектов капитального строительства в течение 5 лет» равно «нулю» в связи с обеспечением нормативных сроков строительства объектов и сокращением объемов незавершенного строительства.</w:t>
      </w:r>
    </w:p>
    <w:p w:rsidR="007C546E" w:rsidRDefault="005033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прогнозируемый период 2016-2018 годов ситуация сохра</w:t>
      </w:r>
      <w:r>
        <w:rPr>
          <w:rFonts w:ascii="Times New Roman" w:hAnsi="Times New Roman" w:cs="Times New Roman"/>
          <w:sz w:val="28"/>
          <w:szCs w:val="28"/>
        </w:rPr>
        <w:t>нится.</w:t>
      </w:r>
    </w:p>
    <w:p w:rsidR="007C546E" w:rsidRDefault="007C54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46E" w:rsidRDefault="005033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VII. Жилищно-коммунальное хозяйство</w:t>
      </w:r>
    </w:p>
    <w:p w:rsidR="007C546E" w:rsidRDefault="007C54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46E" w:rsidRDefault="0050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Показатель 27. Доля многоквартирных домов, в которых собственники помещений выбрали и реализуют один из способов управления многоквартирными домами.</w:t>
      </w:r>
    </w:p>
    <w:p w:rsidR="007C546E" w:rsidRDefault="0050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многоквартирных домов, в которых собственники помещений в</w:t>
      </w:r>
      <w:r>
        <w:rPr>
          <w:rFonts w:ascii="Times New Roman" w:hAnsi="Times New Roman" w:cs="Times New Roman"/>
          <w:sz w:val="28"/>
          <w:szCs w:val="28"/>
        </w:rPr>
        <w:t>ыбрали и реализуют способ управления многоквартирными домами, в 2015 году увеличилась на 0,99 процента пункта и составила  100%.</w:t>
      </w:r>
    </w:p>
    <w:p w:rsidR="007C546E" w:rsidRDefault="0050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показатель достигнут в рамках реализации Федерального закона от 21 июля 2007 года № 185</w:t>
      </w:r>
      <w:r>
        <w:rPr>
          <w:rFonts w:ascii="Times New Roman" w:hAnsi="Times New Roman" w:cs="Times New Roman"/>
          <w:sz w:val="28"/>
          <w:szCs w:val="28"/>
        </w:rPr>
        <w:noBreakHyphen/>
        <w:t>ФЗ «О Фонде содействия реформиро</w:t>
      </w:r>
      <w:r>
        <w:rPr>
          <w:rFonts w:ascii="Times New Roman" w:hAnsi="Times New Roman" w:cs="Times New Roman"/>
          <w:sz w:val="28"/>
          <w:szCs w:val="28"/>
        </w:rPr>
        <w:t>ванию жилищно-коммунального хозяйства» в целях соблюдения условий предоставления финансовой поддержки за счет средств Фонда. Из 712 многоквартирных домов Белокалитвинского района все собственники домов выбрали и реализуют один из способов управления многок</w:t>
      </w:r>
      <w:r>
        <w:rPr>
          <w:rFonts w:ascii="Times New Roman" w:hAnsi="Times New Roman" w:cs="Times New Roman"/>
          <w:sz w:val="28"/>
          <w:szCs w:val="28"/>
        </w:rPr>
        <w:t>вартирными домами.</w:t>
      </w:r>
    </w:p>
    <w:p w:rsidR="007C546E" w:rsidRDefault="005033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прогнозируемый период на 2016-2018 годы показатель не будет снижаться, </w:t>
      </w:r>
      <w:r>
        <w:rPr>
          <w:rFonts w:ascii="Times New Roman" w:hAnsi="Times New Roman" w:cs="Times New Roman"/>
          <w:sz w:val="28"/>
          <w:szCs w:val="28"/>
        </w:rPr>
        <w:t xml:space="preserve">за счет проведения активной разъяснительной работы с собственниками жилья. </w:t>
      </w:r>
    </w:p>
    <w:p w:rsidR="007C546E" w:rsidRDefault="007C54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C546E" w:rsidRDefault="0050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Показатель 28. Доля организаций коммунального комплекса, осуществляющих производство </w:t>
      </w:r>
      <w:r>
        <w:rPr>
          <w:rFonts w:ascii="Times New Roman" w:hAnsi="Times New Roman" w:cs="Times New Roman"/>
          <w:b/>
          <w:sz w:val="28"/>
          <w:szCs w:val="28"/>
        </w:rPr>
        <w:t>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</w:t>
      </w:r>
      <w:r>
        <w:rPr>
          <w:rFonts w:ascii="Times New Roman" w:hAnsi="Times New Roman" w:cs="Times New Roman"/>
          <w:b/>
          <w:sz w:val="28"/>
          <w:szCs w:val="28"/>
        </w:rPr>
        <w:t xml:space="preserve">и концессии, участие субъекта Российской Федерации и (или) городского округа (муниципального района) в уставном капитале которых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составляет не более 25 , в общем числе организаций коммунального комплекса, осуществляющих свою деятельность на территории горо</w:t>
      </w:r>
      <w:r>
        <w:rPr>
          <w:rFonts w:ascii="Times New Roman" w:hAnsi="Times New Roman" w:cs="Times New Roman"/>
          <w:b/>
          <w:sz w:val="28"/>
          <w:szCs w:val="28"/>
        </w:rPr>
        <w:t>дского округа (муниципального района).</w:t>
      </w:r>
    </w:p>
    <w:p w:rsidR="007C546E" w:rsidRDefault="005033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отчетном 2015 году данный показатель составил 84,60% и снизился </w:t>
      </w:r>
      <w:r>
        <w:rPr>
          <w:rFonts w:ascii="Times New Roman" w:hAnsi="Times New Roman" w:cs="Times New Roman"/>
          <w:color w:val="111111"/>
          <w:sz w:val="28"/>
          <w:szCs w:val="28"/>
        </w:rPr>
        <w:t>на 3,63 процентных пункта по отношению к 2014 году в связи с определением гарантирующего поставщика сжиженного газа ООО «Ростгаз» и прекращением</w:t>
      </w:r>
      <w:r>
        <w:rPr>
          <w:rFonts w:ascii="Times New Roman" w:hAnsi="Times New Roman" w:cs="Times New Roman"/>
          <w:sz w:val="28"/>
          <w:szCs w:val="28"/>
        </w:rPr>
        <w:t xml:space="preserve"> деятел</w:t>
      </w:r>
      <w:r>
        <w:rPr>
          <w:rFonts w:ascii="Times New Roman" w:hAnsi="Times New Roman" w:cs="Times New Roman"/>
          <w:sz w:val="28"/>
          <w:szCs w:val="28"/>
        </w:rPr>
        <w:t>ьности трех газоснабжающих организаций-поставщиков сжиженного газа на территории Белокалитивнского района. В плановом периоде 2016-2018 годов указанный показатель к увеличению не планируется.</w:t>
      </w:r>
    </w:p>
    <w:p w:rsidR="007C546E" w:rsidRDefault="007C54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546E" w:rsidRDefault="005033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Показатель 29. Доля многоквартирных домов, расположенных на зем</w:t>
      </w:r>
      <w:r>
        <w:rPr>
          <w:rFonts w:ascii="Times New Roman" w:hAnsi="Times New Roman" w:cs="Times New Roman"/>
          <w:b/>
          <w:bCs/>
          <w:sz w:val="28"/>
          <w:szCs w:val="28"/>
        </w:rPr>
        <w:t>ельных участках, в отношении которых осуществлен государственный кадастровый учет.</w:t>
      </w:r>
    </w:p>
    <w:p w:rsidR="007C546E" w:rsidRDefault="005033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отчетном периоде доля многоквартирных домов, расположенных на земельных участках, в отношении которых осуществлен государственный кадастровый учет, увеличилась на 1 процен</w:t>
      </w:r>
      <w:r>
        <w:rPr>
          <w:rFonts w:ascii="Times New Roman" w:hAnsi="Times New Roman" w:cs="Times New Roman"/>
          <w:bCs/>
          <w:sz w:val="28"/>
          <w:szCs w:val="28"/>
        </w:rPr>
        <w:t>тный пункт и составила в 2015 году 73%.</w:t>
      </w:r>
    </w:p>
    <w:p w:rsidR="007C546E" w:rsidRDefault="005033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2016-2018 годах планируется увеличение значения показателя также на 1 процентный пункт и доведение в 2016 году до 74%, в 2017 году - до 75%, в 2018 году до 76% в результате проведения работы по постановке на кадаст</w:t>
      </w:r>
      <w:r>
        <w:rPr>
          <w:rFonts w:ascii="Times New Roman" w:hAnsi="Times New Roman" w:cs="Times New Roman"/>
          <w:bCs/>
          <w:sz w:val="28"/>
          <w:szCs w:val="28"/>
        </w:rPr>
        <w:t>ровый учет земельных участков под многоквартирными жилыми домами.</w:t>
      </w:r>
    </w:p>
    <w:p w:rsidR="007C546E" w:rsidRDefault="007C54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546E" w:rsidRDefault="0050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Показатель 30. 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помещениях.</w:t>
      </w:r>
    </w:p>
    <w:p w:rsidR="007C546E" w:rsidRDefault="0050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населения, получившего жилые помещения и улучшившего жилищные условия, в 2014 году составила 8,52%, в 2015 году - 9,75%. Увеличение показателя в отчетном году обусловлено выделением дополнительных средств на реализацию мероприятий по пере</w:t>
      </w:r>
      <w:r>
        <w:rPr>
          <w:rFonts w:ascii="Times New Roman" w:hAnsi="Times New Roman" w:cs="Times New Roman"/>
          <w:sz w:val="28"/>
          <w:szCs w:val="28"/>
        </w:rPr>
        <w:t>селению граждан из аварийного жилищного фонда за счет областных средств.</w:t>
      </w:r>
    </w:p>
    <w:p w:rsidR="007C546E" w:rsidRDefault="0050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прогнозируемых периодах 2016-2018 годов этот показатель планируется на уровне 6,72%, 6,55% и 3,50% соответственно, что обусловлено завершением реализации в указанный период регионал</w:t>
      </w:r>
      <w:r>
        <w:rPr>
          <w:rFonts w:ascii="Times New Roman" w:hAnsi="Times New Roman" w:cs="Times New Roman"/>
          <w:sz w:val="28"/>
          <w:szCs w:val="28"/>
        </w:rPr>
        <w:t>ьных программ по переселению граждан из аварийного жилищного фонда, так как в указанном периоде происходит отселение аварийных домов, признанных таковыми до 01.01.2012 года. К 2018 году также планируется обеспечить жильем ветеранов Великой Отечественной во</w:t>
      </w:r>
      <w:r>
        <w:rPr>
          <w:rFonts w:ascii="Times New Roman" w:hAnsi="Times New Roman" w:cs="Times New Roman"/>
          <w:sz w:val="28"/>
          <w:szCs w:val="28"/>
        </w:rPr>
        <w:t xml:space="preserve">йны в полном объеме. </w:t>
      </w:r>
    </w:p>
    <w:p w:rsidR="007C546E" w:rsidRDefault="005033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Значения показателя на прогнозируемый период могут значительно увеличиться при условии реализации мероприятий по переселению граждан из аварийного жилищного фонда, признанного таковым после 01.01.2012 года.</w:t>
      </w:r>
    </w:p>
    <w:p w:rsidR="007C546E" w:rsidRDefault="007C54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546E" w:rsidRDefault="005033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VIII. Организация муниципа</w:t>
      </w:r>
      <w:r>
        <w:rPr>
          <w:rFonts w:ascii="Times New Roman" w:hAnsi="Times New Roman" w:cs="Times New Roman"/>
          <w:b/>
          <w:sz w:val="28"/>
          <w:szCs w:val="28"/>
        </w:rPr>
        <w:t>льного управления</w:t>
      </w:r>
    </w:p>
    <w:p w:rsidR="007C546E" w:rsidRDefault="007C54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546E" w:rsidRDefault="005033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Показатель 31. 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</w:t>
      </w:r>
      <w:r>
        <w:rPr>
          <w:rFonts w:ascii="Times New Roman" w:hAnsi="Times New Roman" w:cs="Times New Roman"/>
          <w:b/>
          <w:bCs/>
          <w:sz w:val="28"/>
          <w:szCs w:val="28"/>
        </w:rPr>
        <w:t>субвенций).</w:t>
      </w:r>
    </w:p>
    <w:p w:rsidR="007C546E" w:rsidRDefault="0050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Доля налоговых и неналоговых </w:t>
      </w:r>
      <w:r>
        <w:rPr>
          <w:rFonts w:ascii="Times New Roman" w:hAnsi="Times New Roman" w:cs="Times New Roman"/>
          <w:sz w:val="28"/>
          <w:szCs w:val="28"/>
        </w:rPr>
        <w:t xml:space="preserve">доходов бюджета Белокалитвинского района в общем объеме собственных доходов бюджета района в 2015 году составила 16,56%. </w:t>
      </w:r>
    </w:p>
    <w:p w:rsidR="007C546E" w:rsidRDefault="005033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без учета поступлений налога на доходы физических лиц по дополнительному нормативу увеличились в 2015 году на 35,00%, а безвозмездные поступления возросли на 3,9% к уровню предыдущего года. </w:t>
      </w:r>
    </w:p>
    <w:p w:rsidR="007C546E" w:rsidRDefault="0050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2016 году доля собственных </w:t>
      </w:r>
      <w:r>
        <w:rPr>
          <w:rFonts w:ascii="Times New Roman" w:hAnsi="Times New Roman" w:cs="Times New Roman"/>
          <w:bCs/>
          <w:sz w:val="28"/>
          <w:szCs w:val="28"/>
        </w:rPr>
        <w:t>доходов в общем объеме доходов прогнозируется в размере 16,11%. Снижение по сравнению с 2015 годом связано  с уменьшением безвозмездных поступлений (-0,8%).</w:t>
      </w:r>
    </w:p>
    <w:p w:rsidR="007C546E" w:rsidRDefault="005033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удельный вес собственных доходов в общих доходах бюджета района прогнозируется в размер</w:t>
      </w:r>
      <w:r>
        <w:rPr>
          <w:rFonts w:ascii="Times New Roman" w:hAnsi="Times New Roman" w:cs="Times New Roman"/>
          <w:sz w:val="28"/>
          <w:szCs w:val="28"/>
        </w:rPr>
        <w:t>е 29,14%, что связано с более высоким темпом роста собственных доходов (+10,3%) и почти в два раза снижением безвозмездных поступлений.</w:t>
      </w:r>
    </w:p>
    <w:p w:rsidR="007C546E" w:rsidRDefault="007C54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546E" w:rsidRDefault="0050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Показатель 32. Доля основных фондов организаций муниципальной формы собственности, находящихся в стадии банкротства, в </w:t>
      </w:r>
      <w:r>
        <w:rPr>
          <w:rFonts w:ascii="Times New Roman" w:hAnsi="Times New Roman" w:cs="Times New Roman"/>
          <w:b/>
          <w:bCs/>
          <w:sz w:val="28"/>
          <w:szCs w:val="28"/>
        </w:rPr>
        <w:t>основных фондах организаций муниципальной формы собственности (на конец года по полной учетной стоимости).</w:t>
      </w:r>
    </w:p>
    <w:p w:rsidR="007C546E" w:rsidRDefault="005033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Организаций муниципальной формы собственности, находящихся в стадии банкротства, в Белокалитвинском районе нет.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C546E" w:rsidRDefault="007C54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546E" w:rsidRDefault="0050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Показатель 33. Объем не завершенног</w:t>
      </w:r>
      <w:r>
        <w:rPr>
          <w:rFonts w:ascii="Times New Roman" w:hAnsi="Times New Roman" w:cs="Times New Roman"/>
          <w:b/>
          <w:bCs/>
          <w:sz w:val="28"/>
          <w:szCs w:val="28"/>
        </w:rPr>
        <w:t>о в установленные сроки строительства, осуществляемого за счет средств бюджета городского округа (муниципального района).</w:t>
      </w:r>
    </w:p>
    <w:p w:rsidR="007C546E" w:rsidRDefault="0050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не завершенного в установленные сроки строительства, осуществляемого за счет средств бюджета Белокалитвинского района  в 2015 го</w:t>
      </w:r>
      <w:r>
        <w:rPr>
          <w:rFonts w:ascii="Times New Roman" w:hAnsi="Times New Roman" w:cs="Times New Roman"/>
          <w:sz w:val="28"/>
          <w:szCs w:val="28"/>
        </w:rPr>
        <w:t xml:space="preserve">ду, составил 1790,47 тыс.рублей и сложился по объекту: «Подъезд от а/д ММ 61-89  «Подъезд от а/д «г.Белая Калитва (от а/д г.Белая Калитва - х.Апанасовка - п.Тацинский) к х.Нижнепопов, к х.Дороговский».  </w:t>
      </w:r>
    </w:p>
    <w:p w:rsidR="007C546E" w:rsidRDefault="005033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2016-2018 годах объемы незавершенного строительств</w:t>
      </w:r>
      <w:r>
        <w:rPr>
          <w:rFonts w:ascii="Times New Roman" w:hAnsi="Times New Roman" w:cs="Times New Roman"/>
          <w:sz w:val="28"/>
          <w:szCs w:val="28"/>
        </w:rPr>
        <w:t>а не планируются.</w:t>
      </w:r>
    </w:p>
    <w:p w:rsidR="007C546E" w:rsidRDefault="007C54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546E" w:rsidRDefault="005033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Показатель 34. 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</w:t>
      </w:r>
      <w:r>
        <w:rPr>
          <w:rFonts w:ascii="Times New Roman" w:hAnsi="Times New Roman" w:cs="Times New Roman"/>
          <w:b/>
          <w:bCs/>
          <w:sz w:val="28"/>
          <w:szCs w:val="28"/>
        </w:rPr>
        <w:t>уда).</w:t>
      </w:r>
    </w:p>
    <w:p w:rsidR="007C546E" w:rsidRDefault="005033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Просроченная к</w:t>
      </w:r>
      <w:r>
        <w:rPr>
          <w:rFonts w:ascii="Times New Roman" w:hAnsi="Times New Roman" w:cs="Times New Roman"/>
          <w:sz w:val="28"/>
          <w:szCs w:val="28"/>
        </w:rPr>
        <w:t>редиторская задолженность по оплате труда (включая начисления на оплату труда) муниципальных бюджетных учреждений Белокалитвинского района отсутствует. В прогнозируемом периоде данная тенденция сохранится.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C546E" w:rsidRDefault="007C54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546E" w:rsidRDefault="0050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Показатель 35. Расходы бюдже</w:t>
      </w:r>
      <w:r>
        <w:rPr>
          <w:rFonts w:ascii="Times New Roman" w:hAnsi="Times New Roman" w:cs="Times New Roman"/>
          <w:b/>
          <w:bCs/>
          <w:sz w:val="28"/>
          <w:szCs w:val="28"/>
        </w:rPr>
        <w:t>та муниципального образования на содержание работников органов местного самоуправления в расчете на одного жителя муниципального образования.</w:t>
      </w:r>
    </w:p>
    <w:p w:rsidR="007C546E" w:rsidRDefault="005033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 муниципального образования на содержание работников органов местного самоуправления в расчете на о</w:t>
      </w:r>
      <w:r>
        <w:rPr>
          <w:rFonts w:ascii="Times New Roman" w:hAnsi="Times New Roman" w:cs="Times New Roman"/>
          <w:sz w:val="28"/>
          <w:szCs w:val="28"/>
        </w:rPr>
        <w:t>дного жителя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Белокалитвинского района составили </w:t>
      </w:r>
      <w:r>
        <w:rPr>
          <w:rFonts w:ascii="Times New Roman" w:hAnsi="Times New Roman" w:cs="Times New Roman"/>
          <w:bCs/>
          <w:sz w:val="28"/>
          <w:szCs w:val="28"/>
        </w:rPr>
        <w:t>в 2015 году</w:t>
      </w:r>
      <w:r>
        <w:rPr>
          <w:rFonts w:ascii="Times New Roman" w:hAnsi="Times New Roman" w:cs="Times New Roman"/>
          <w:sz w:val="28"/>
          <w:szCs w:val="28"/>
        </w:rPr>
        <w:t xml:space="preserve"> 737,15 рублей и по отношению к 2014 году уменьшились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0,04%. </w:t>
      </w:r>
      <w:r>
        <w:rPr>
          <w:rFonts w:ascii="Times New Roman" w:hAnsi="Times New Roman" w:cs="Times New Roman"/>
          <w:sz w:val="28"/>
          <w:szCs w:val="28"/>
        </w:rPr>
        <w:t xml:space="preserve">Уменьшение объема расходов на содержание органов местного самоуправления в 2015 году связано с сокращением штатной численности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по Соб</w:t>
      </w:r>
      <w:r>
        <w:rPr>
          <w:rFonts w:ascii="Times New Roman" w:hAnsi="Times New Roman" w:cs="Times New Roman"/>
          <w:sz w:val="28"/>
          <w:szCs w:val="28"/>
        </w:rPr>
        <w:t>ранию депутатов Белокалитвинского района, согласно изменениям, внесенным в Устав Белокалитвинского района.</w:t>
      </w:r>
    </w:p>
    <w:p w:rsidR="007C546E" w:rsidRDefault="005033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прогнозируемом периоде планируется рост показателя: в 2016 году - на 3,2%, в 2017 году - на 2,06%, в 2018 году - на 1,31%.</w:t>
      </w:r>
      <w:r>
        <w:rPr>
          <w:rFonts w:ascii="Times New Roman" w:hAnsi="Times New Roman" w:cs="Times New Roman"/>
          <w:sz w:val="28"/>
          <w:szCs w:val="28"/>
        </w:rPr>
        <w:t xml:space="preserve"> Увеличение расходов в 20</w:t>
      </w:r>
      <w:r>
        <w:rPr>
          <w:rFonts w:ascii="Times New Roman" w:hAnsi="Times New Roman" w:cs="Times New Roman"/>
          <w:sz w:val="28"/>
          <w:szCs w:val="28"/>
        </w:rPr>
        <w:t>16-2017 годах связано с созданием контрольно-счетной инспекции Белокалитвинского района  на основании решения Собрания депутатов Белокалитвинского района от 27.08.2015 года №23 «О создании контрольно-счетной инспекции Белокалитвинского района».</w:t>
      </w:r>
    </w:p>
    <w:p w:rsidR="007C546E" w:rsidRDefault="007C54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546E" w:rsidRDefault="0050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36. 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района).</w:t>
      </w:r>
    </w:p>
    <w:p w:rsidR="007C546E" w:rsidRDefault="005033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территориального планирования муниципального района утверждена решением Собрания де</w:t>
      </w:r>
      <w:r>
        <w:rPr>
          <w:rFonts w:ascii="Times New Roman" w:hAnsi="Times New Roman" w:cs="Times New Roman"/>
          <w:sz w:val="28"/>
          <w:szCs w:val="28"/>
        </w:rPr>
        <w:t>путатов Белокалитвинского района от  14.12.2011 № 107 «Об утверждении схемы территориального планирования Белокалитвинского района».</w:t>
      </w:r>
    </w:p>
    <w:p w:rsidR="007C546E" w:rsidRDefault="007C54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C546E" w:rsidRDefault="005033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Показатель 37.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Удовлетворенность населения деятельностью органов местного самоуправления городского округа (муниципального района), в том  числе их информационной открытостью.     </w:t>
      </w:r>
    </w:p>
    <w:p w:rsidR="007C546E" w:rsidRDefault="005033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итогам 2015 года 58% населения Белокалитвинского района от опрошенных удовлетворены де</w:t>
      </w:r>
      <w:r>
        <w:rPr>
          <w:rFonts w:ascii="Times New Roman" w:hAnsi="Times New Roman" w:cs="Times New Roman"/>
          <w:color w:val="000000"/>
          <w:sz w:val="28"/>
          <w:szCs w:val="28"/>
        </w:rPr>
        <w:t>ятельностью органов местного самоуправления района. По сравнению с 2014 годом показатель вырос на 8 процентных пункта.</w:t>
      </w:r>
    </w:p>
    <w:p w:rsidR="007C546E" w:rsidRDefault="005033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В 2015 году с целью увеличения данного показателя был разработан план  мероприятий, касающихся всех сфер </w:t>
      </w:r>
      <w:r>
        <w:rPr>
          <w:rFonts w:ascii="Times New Roman" w:hAnsi="Times New Roman" w:cs="Times New Roman"/>
          <w:color w:val="000000"/>
          <w:sz w:val="28"/>
          <w:szCs w:val="28"/>
        </w:rPr>
        <w:t>деятельности администрации райо</w:t>
      </w:r>
      <w:r>
        <w:rPr>
          <w:rFonts w:ascii="Times New Roman" w:hAnsi="Times New Roman" w:cs="Times New Roman"/>
          <w:color w:val="000000"/>
          <w:sz w:val="28"/>
          <w:szCs w:val="28"/>
        </w:rPr>
        <w:t>на.</w:t>
      </w:r>
    </w:p>
    <w:p w:rsidR="007C546E" w:rsidRDefault="005033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 целью расширения форм информирования населения района о деятельности органов местного самоуправления и решения вопросов по личным заявлениям граждан проводились следующие мероприятия:</w:t>
      </w:r>
    </w:p>
    <w:p w:rsidR="007C546E" w:rsidRDefault="005033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личные приемы граждан главой района (не реже 1 раза в месяц и по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мере необходимости) и заместителями главы администрации района. В отчётном периоде было принято 362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человека,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поступило 1056 обращений. Среди общего количества обращений 694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-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письменных, 362 - у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стных (в ходе проведения личных приемов). Анализ тематики об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ращений,  поступивших в администрацию района, показывает, что основную часть (56%) составляют вопросы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жилищно - коммунального хозяйства;</w:t>
      </w:r>
    </w:p>
    <w:p w:rsidR="007C546E" w:rsidRDefault="005033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встречи с жителями поселений, входящих в состав Белокалитвинского района, информационных групп под руководством главы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района не реже 1 раза в полугодие. За 2015 год проведено 50 встреч информационных групп с  жителями района. В них приняли участие около 4 тысяч человек. Во время проведения встреч на все вопросы были даны подробные разъяснения, установлены сроки их решени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я, даны соответствующие поручения, 48 человек записались на личный прием к главе района и заместителям главы администрации района;</w:t>
      </w:r>
    </w:p>
    <w:p w:rsidR="007C546E" w:rsidRDefault="005033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- отчеты главы района и глав поселений перед населением, публикация отчетов в общественно-политической газете «Перекресток»,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размещение на официальном сайте администрации района, освещение в программах телестудии «Майдан» и на «Авторадио».</w:t>
      </w:r>
    </w:p>
    <w:p w:rsidR="007C546E" w:rsidRDefault="005033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встречи главы района (ежеквартально) с руководителями и представителями политических партий, общественных организаций, религиозных национал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ьных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>объединений по вопросам социально-экономического развития района, профилактике терроризма и экстремизма и другим актуальным вопросам.</w:t>
      </w:r>
    </w:p>
    <w:p w:rsidR="007C546E" w:rsidRDefault="005033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 официальном сайте администрации Белокалитвинского района создана интернет-приемная для обеспечения дополнительно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й возможности обращения  граждан в администрацию района. За 2015 год через интернет-приемную было принято 47 обращений.</w:t>
      </w:r>
    </w:p>
    <w:p w:rsidR="007C546E" w:rsidRDefault="005033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района нацелена на дальнейшую эффективную работу в прогнозируемом периоде, и в связи с этим, предполагается увеличить проц</w:t>
      </w:r>
      <w:r>
        <w:rPr>
          <w:rFonts w:ascii="Times New Roman" w:hAnsi="Times New Roman" w:cs="Times New Roman"/>
          <w:color w:val="000000"/>
          <w:sz w:val="28"/>
          <w:szCs w:val="28"/>
        </w:rPr>
        <w:t>ент по данному показателю до 59,5% к 2018 году.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7C546E" w:rsidRDefault="007C54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546E" w:rsidRDefault="0050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Показатель 38. Среднегодовая численность постоянного населения. </w:t>
      </w:r>
    </w:p>
    <w:p w:rsidR="007C546E" w:rsidRDefault="0050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Среднегодовая численность населения Белокалитвинского района в 2015 году по оценочным данным снизилась на 1,3 тыс.человек и составила 95,1 ты</w:t>
      </w:r>
      <w:r>
        <w:rPr>
          <w:rFonts w:ascii="Times New Roman" w:hAnsi="Times New Roman" w:cs="Times New Roman"/>
          <w:sz w:val="28"/>
          <w:szCs w:val="28"/>
        </w:rPr>
        <w:t>с.человек, ожидается в 2016 году - 93,9 тыс.человек, в 2017-2018 годах - 92,7 и 91,5 тыс.человек соответственно.</w:t>
      </w:r>
    </w:p>
    <w:p w:rsidR="007C546E" w:rsidRDefault="005033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темп снижения численности отражает тенденции естественной убыли и миграции населения.</w:t>
      </w:r>
    </w:p>
    <w:p w:rsidR="007C546E" w:rsidRDefault="007C54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46E" w:rsidRDefault="005033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IX. Энергосбережение и повышение энергетической </w:t>
      </w:r>
      <w:r>
        <w:rPr>
          <w:rFonts w:ascii="Times New Roman" w:hAnsi="Times New Roman" w:cs="Times New Roman"/>
          <w:b/>
          <w:sz w:val="28"/>
          <w:szCs w:val="28"/>
        </w:rPr>
        <w:t>эффективности</w:t>
      </w:r>
    </w:p>
    <w:p w:rsidR="007C546E" w:rsidRDefault="007C54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46E" w:rsidRDefault="0050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Показатель 39. Удельная величина потребления энергетических ресурсов в многоквартирных домах. </w:t>
      </w:r>
    </w:p>
    <w:p w:rsidR="007C546E" w:rsidRDefault="0050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удельной величины потребления электроэнергии в многоквартирных домах  в 2015 году не изменился и составляет 636,80 кВт/ч на одного прож</w:t>
      </w:r>
      <w:r>
        <w:rPr>
          <w:rFonts w:ascii="Times New Roman" w:hAnsi="Times New Roman" w:cs="Times New Roman"/>
          <w:sz w:val="28"/>
          <w:szCs w:val="28"/>
        </w:rPr>
        <w:t xml:space="preserve">ивающего. </w:t>
      </w:r>
    </w:p>
    <w:p w:rsidR="007C546E" w:rsidRDefault="0050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планируемые 2016-2018 годы показатель удельной величины потребления электроэнергии в многоквартирных домах не планируется к увеличению в связи с применением энергосберегающих технологий.</w:t>
      </w:r>
    </w:p>
    <w:p w:rsidR="007C546E" w:rsidRDefault="0050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удельной величины потребления тепловой энерги</w:t>
      </w:r>
      <w:r>
        <w:rPr>
          <w:rFonts w:ascii="Times New Roman" w:hAnsi="Times New Roman" w:cs="Times New Roman"/>
          <w:sz w:val="28"/>
          <w:szCs w:val="28"/>
        </w:rPr>
        <w:t xml:space="preserve">и в многоквартирных домах не изменился и составляет 0,15 Гкал на 1 кв.метр. </w:t>
      </w:r>
    </w:p>
    <w:p w:rsidR="007C546E" w:rsidRDefault="0050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прогнозируемый период показатель принимается 0,15 Гкал/ на 1 кв.метр в год.</w:t>
      </w:r>
    </w:p>
    <w:p w:rsidR="007C546E" w:rsidRDefault="0050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Показатель удельной величины потребления воды в многоквартирных домах  в 2015 году не изменился и с</w:t>
      </w:r>
      <w:r>
        <w:rPr>
          <w:rFonts w:ascii="Times New Roman" w:hAnsi="Times New Roman" w:cs="Times New Roman"/>
          <w:sz w:val="28"/>
          <w:szCs w:val="28"/>
        </w:rPr>
        <w:t xml:space="preserve">оставляет  17,47 куб. метров на 1 проживающего. </w:t>
      </w:r>
    </w:p>
    <w:p w:rsidR="007C546E" w:rsidRDefault="0050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показатель не планируется к увеличению. </w:t>
      </w:r>
    </w:p>
    <w:p w:rsidR="007C546E" w:rsidRDefault="0050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Показатель удельной величины потребления газа в многоквартирных домах не изменился и составляет 158,68 куб. метров  на 1 проживающего в 2015 году. </w:t>
      </w:r>
    </w:p>
    <w:p w:rsidR="007C546E" w:rsidRDefault="005033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пока</w:t>
      </w:r>
      <w:r>
        <w:rPr>
          <w:rFonts w:ascii="Times New Roman" w:hAnsi="Times New Roman" w:cs="Times New Roman"/>
          <w:sz w:val="28"/>
          <w:szCs w:val="28"/>
        </w:rPr>
        <w:t xml:space="preserve">затель не планируется к увеличению. </w:t>
      </w:r>
    </w:p>
    <w:p w:rsidR="007C546E" w:rsidRDefault="007C54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546E" w:rsidRDefault="0050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Показатель 40. Удельная величина потребления энергетических ресурсов муниципальными бюджетными учреждениями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546E" w:rsidRDefault="0050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отмечено увеличение удельной величины потребления электрической энергии муниципальными бюджетными учреждениями на 1,17 процентных пункта в сравнении с 2014 годом, что обусловлено открытием и вводом в эксплуатацию трех модульных детских садов (М</w:t>
      </w:r>
      <w:r>
        <w:rPr>
          <w:rFonts w:ascii="Times New Roman" w:hAnsi="Times New Roman" w:cs="Times New Roman"/>
          <w:sz w:val="28"/>
          <w:szCs w:val="28"/>
        </w:rPr>
        <w:t xml:space="preserve">БДОУ детский сад №17 «Василек» на 25 мест, МБДОУ детский сад №43 «Колобок» на 50 мест, МБДОУ детский сад №58 «Росинка» на 25 мест), а также вводом в эксплуатацию после </w:t>
      </w:r>
      <w:r>
        <w:rPr>
          <w:rFonts w:ascii="Times New Roman" w:hAnsi="Times New Roman" w:cs="Times New Roman"/>
          <w:sz w:val="28"/>
          <w:szCs w:val="28"/>
        </w:rPr>
        <w:lastRenderedPageBreak/>
        <w:t>завершения капитального ремонта МБДОУ детский сад №42 «Дюймовочка». В плановом периоде 2</w:t>
      </w:r>
      <w:r>
        <w:rPr>
          <w:rFonts w:ascii="Times New Roman" w:hAnsi="Times New Roman" w:cs="Times New Roman"/>
          <w:sz w:val="28"/>
          <w:szCs w:val="28"/>
        </w:rPr>
        <w:t>016-2018 годов планируется стабилизация удельной величины потребления электроэнергии муниципальными бюджетными учреждениями на уровне 2015 года (51,57 кВт/ч на 1 человека населения) в связи с реализацией положений Федерального закона от 23.11.2009 № 261-ФЗ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546E" w:rsidRDefault="0050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показателя «Удельная величина потребления тепловой энергии муниципальными бюджетными учреждениями» осталось на уровне 2014 года (0,02 Гкал на 1 кв. метр общей площади). В плановом периоде 2016-2018 годов показатель не планируется к увеличению. </w:t>
      </w:r>
      <w:r>
        <w:rPr>
          <w:rFonts w:ascii="Times New Roman" w:hAnsi="Times New Roman" w:cs="Times New Roman"/>
          <w:sz w:val="28"/>
          <w:szCs w:val="28"/>
        </w:rPr>
        <w:t>Сохранение удельной величины потребления тепловой энергии на один кв.м связано с установлением приборов учета тепловой энергии в зданиях бюджетных учреждений.</w:t>
      </w:r>
    </w:p>
    <w:p w:rsidR="007C546E" w:rsidRDefault="0050337A">
      <w:pPr>
        <w:tabs>
          <w:tab w:val="left" w:pos="8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отмечено снижение удельной величины потребления холодной воды муниципальными бюджетны</w:t>
      </w:r>
      <w:r>
        <w:rPr>
          <w:rFonts w:ascii="Times New Roman" w:hAnsi="Times New Roman" w:cs="Times New Roman"/>
          <w:sz w:val="28"/>
          <w:szCs w:val="28"/>
        </w:rPr>
        <w:t>ми учреждениями, что связано с реализацией бюджетными учреждениями ряда энергосберегающих мероприятий. В плановом периоде 2016-2018 годов показатель не планируется к увеличению.</w:t>
      </w:r>
    </w:p>
    <w:p w:rsidR="007C546E" w:rsidRDefault="0050337A">
      <w:pPr>
        <w:tabs>
          <w:tab w:val="left" w:pos="1080"/>
        </w:tabs>
        <w:spacing w:after="0" w:line="240" w:lineRule="auto"/>
        <w:ind w:firstLine="709"/>
        <w:jc w:val="both"/>
        <w:rPr>
          <w:color w:val="FF0000"/>
        </w:rPr>
      </w:pPr>
      <w:r>
        <w:rPr>
          <w:rFonts w:ascii="Times New Roman" w:hAnsi="Times New Roman" w:cs="Times New Roman"/>
          <w:sz w:val="28"/>
          <w:szCs w:val="28"/>
        </w:rPr>
        <w:t>Увеличение показателя удельной величины потребления природного газа на 0,49 ку</w:t>
      </w:r>
      <w:r>
        <w:rPr>
          <w:rFonts w:ascii="Times New Roman" w:hAnsi="Times New Roman" w:cs="Times New Roman"/>
          <w:sz w:val="28"/>
          <w:szCs w:val="28"/>
        </w:rPr>
        <w:t>б. метров на 1 человека населения произошло вследствие газификации в 2015 году трех общеобразовательных учреждений (МБДОУ детский сад №58 «Росинка», МБДОУ детский сад №59 «Ромашка», МБУ ДО ДЮСШ №3) и двух учреждений культуры (МБУ ДО «Детская музыкальная шк</w:t>
      </w:r>
      <w:r>
        <w:rPr>
          <w:rFonts w:ascii="Times New Roman" w:hAnsi="Times New Roman" w:cs="Times New Roman"/>
          <w:sz w:val="28"/>
          <w:szCs w:val="28"/>
        </w:rPr>
        <w:t>ола х. Богураев», МБУК Богураевского сельского поселения «Богураевская клубная система»). В плановом периоде 2016-2018 годов  планируется увеличение удельной величины потребления природного газа муниципальными бюджетными учреждениями в связи с дальнейшей г</w:t>
      </w:r>
      <w:r>
        <w:rPr>
          <w:rFonts w:ascii="Times New Roman" w:hAnsi="Times New Roman" w:cs="Times New Roman"/>
          <w:sz w:val="28"/>
          <w:szCs w:val="28"/>
        </w:rPr>
        <w:t>азификацией и техническим перевооружением угольных котельных по использованию вида топлива «природный газ» вместо твердого топлива (угля): 2 2016 году - 4,97 куб. метров, в 2017 году - 5,26 куб. метров и в 2018 - 5,60 куб. метров.</w:t>
      </w:r>
    </w:p>
    <w:p w:rsidR="007C546E" w:rsidRDefault="007C546E">
      <w:pPr>
        <w:tabs>
          <w:tab w:val="left" w:pos="1080"/>
        </w:tabs>
        <w:spacing w:after="0" w:line="240" w:lineRule="auto"/>
        <w:jc w:val="both"/>
        <w:rPr>
          <w:color w:val="FF0000"/>
        </w:rPr>
      </w:pPr>
    </w:p>
    <w:p w:rsidR="007C546E" w:rsidRDefault="007C546E">
      <w:pPr>
        <w:tabs>
          <w:tab w:val="left" w:pos="1080"/>
        </w:tabs>
        <w:spacing w:after="0" w:line="240" w:lineRule="auto"/>
        <w:jc w:val="both"/>
        <w:rPr>
          <w:color w:val="FF0000"/>
        </w:rPr>
      </w:pPr>
    </w:p>
    <w:sectPr w:rsidR="007C546E" w:rsidSect="00083A05">
      <w:footerReference w:type="default" r:id="rId6"/>
      <w:pgSz w:w="11906" w:h="16838"/>
      <w:pgMar w:top="284" w:right="567" w:bottom="1412" w:left="1134" w:header="0" w:footer="45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37A" w:rsidRDefault="0050337A">
      <w:pPr>
        <w:spacing w:after="0" w:line="240" w:lineRule="auto"/>
      </w:pPr>
      <w:r>
        <w:separator/>
      </w:r>
    </w:p>
  </w:endnote>
  <w:endnote w:type="continuationSeparator" w:id="0">
    <w:p w:rsidR="0050337A" w:rsidRDefault="00503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46E" w:rsidRDefault="0050337A">
    <w:pPr>
      <w:pStyle w:val="af1"/>
      <w:jc w:val="right"/>
    </w:pPr>
    <w:r>
      <w:fldChar w:fldCharType="begin"/>
    </w:r>
    <w:r>
      <w:instrText>PAGE</w:instrText>
    </w:r>
    <w:r>
      <w:fldChar w:fldCharType="separate"/>
    </w:r>
    <w:r w:rsidR="00083A0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37A" w:rsidRDefault="0050337A">
      <w:pPr>
        <w:spacing w:after="0" w:line="240" w:lineRule="auto"/>
      </w:pPr>
      <w:r>
        <w:separator/>
      </w:r>
    </w:p>
  </w:footnote>
  <w:footnote w:type="continuationSeparator" w:id="0">
    <w:p w:rsidR="0050337A" w:rsidRDefault="005033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defaultTabStop w:val="4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546E"/>
    <w:rsid w:val="00083A05"/>
    <w:rsid w:val="0050337A"/>
    <w:rsid w:val="007C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D0C70-13C3-4055-BAF2-8DC991299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roid Sans Fallback" w:hAnsi="Times New Roman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Times New Roman" w:hAnsi="Calibri" w:cs="Calibri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qFormat/>
  </w:style>
  <w:style w:type="character" w:customStyle="1" w:styleId="2">
    <w:name w:val="Основной шрифт абзаца2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1">
    <w:name w:val="Основной шрифт абзаца1"/>
    <w:qFormat/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qFormat/>
    <w:rPr>
      <w:sz w:val="22"/>
      <w:szCs w:val="22"/>
    </w:rPr>
  </w:style>
  <w:style w:type="character" w:customStyle="1" w:styleId="a5">
    <w:name w:val="Нижний колонтитул Знак"/>
    <w:qFormat/>
    <w:rPr>
      <w:sz w:val="22"/>
      <w:szCs w:val="22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ascii="Times New Roman" w:hAnsi="Times New Roman" w:cs="FreeSans"/>
    </w:rPr>
  </w:style>
  <w:style w:type="paragraph" w:styleId="a9">
    <w:name w:val="Title"/>
    <w:basedOn w:val="a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Times New Roman" w:hAnsi="Times New Roman" w:cs="Free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customStyle="1" w:styleId="30">
    <w:name w:val="Указатель3"/>
    <w:basedOn w:val="a"/>
    <w:qFormat/>
    <w:pPr>
      <w:suppressLineNumbers/>
    </w:pPr>
    <w:rPr>
      <w:rFonts w:ascii="Times New Roman" w:hAnsi="Times New Roman" w:cs="FreeSans"/>
    </w:rPr>
  </w:style>
  <w:style w:type="paragraph" w:customStyle="1" w:styleId="20">
    <w:name w:val="Название объекта2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customStyle="1" w:styleId="21">
    <w:name w:val="Указатель2"/>
    <w:basedOn w:val="a"/>
    <w:qFormat/>
    <w:pPr>
      <w:suppressLineNumbers/>
    </w:pPr>
    <w:rPr>
      <w:rFonts w:ascii="Times New Roman" w:hAnsi="Times New Roman" w:cs="FreeSans"/>
    </w:rPr>
  </w:style>
  <w:style w:type="paragraph" w:customStyle="1" w:styleId="10">
    <w:name w:val="Название объекта1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customStyle="1" w:styleId="11">
    <w:name w:val="Указатель1"/>
    <w:basedOn w:val="a"/>
    <w:qFormat/>
    <w:pPr>
      <w:suppressLineNumbers/>
    </w:pPr>
    <w:rPr>
      <w:rFonts w:ascii="Times New Roman" w:hAnsi="Times New Roman" w:cs="FreeSans"/>
    </w:rPr>
  </w:style>
  <w:style w:type="paragraph" w:customStyle="1" w:styleId="ac">
    <w:name w:val="Знак Знак Знак Знак Знак Знак Знак Знак Знак Знак Знак Знак"/>
    <w:basedOn w:val="a"/>
    <w:qFormat/>
    <w:pPr>
      <w:spacing w:before="280" w:after="280" w:line="240" w:lineRule="auto"/>
      <w:jc w:val="both"/>
    </w:pPr>
    <w:rPr>
      <w:rFonts w:ascii="Tahoma" w:hAnsi="Tahoma" w:cs="Times New Roman"/>
      <w:sz w:val="20"/>
      <w:szCs w:val="20"/>
      <w:lang w:val="en-US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styleId="ae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">
    <w:name w:val="Знак Знак Знак Знак Знак Знак Знак Знак Знак"/>
    <w:basedOn w:val="a"/>
    <w:qFormat/>
    <w:pPr>
      <w:spacing w:before="280" w:after="280" w:line="240" w:lineRule="auto"/>
    </w:pPr>
    <w:rPr>
      <w:rFonts w:ascii="Tahoma" w:hAnsi="Tahoma" w:cs="Tahoma"/>
      <w:sz w:val="20"/>
      <w:szCs w:val="20"/>
      <w:lang w:val="en-US"/>
    </w:r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5618</TotalTime>
  <Pages>15</Pages>
  <Words>6008</Words>
  <Characters>34249</Characters>
  <Application>Microsoft Office Word</Application>
  <DocSecurity>0</DocSecurity>
  <Lines>285</Lines>
  <Paragraphs>80</Paragraphs>
  <ScaleCrop>false</ScaleCrop>
  <Company/>
  <LinksUpToDate>false</LinksUpToDate>
  <CharactersWithSpaces>40177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513</dc:creator>
  <cp:lastModifiedBy>Сидоренко</cp:lastModifiedBy>
  <cp:revision>9</cp:revision>
  <cp:lastPrinted>2016-04-19T15:50:00Z</cp:lastPrinted>
  <dcterms:created xsi:type="dcterms:W3CDTF">2016-04-19T18:21:00Z</dcterms:created>
  <dcterms:modified xsi:type="dcterms:W3CDTF">2016-04-27T08:06:00Z</dcterms:modified>
  <dc:language>ru-RU</dc:language>
</cp:coreProperties>
</file>