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  <w:shd w:fill="FFFFFF" w:val="clear"/>
        </w:rPr>
        <w:t>I. Экономическое развитие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sz w:val="28"/>
          <w:szCs w:val="28"/>
          <w:shd w:fill="FFFFFF" w:val="clear"/>
        </w:rPr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b/>
          <w:sz w:val="28"/>
          <w:szCs w:val="28"/>
          <w:shd w:fill="FFFFFF" w:val="clear"/>
        </w:rPr>
        <w:t>Показатель 1. Число субъектов малого и среднего предпринимательства.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В расчете на 10 тыс. жителей района количество субъектов малого и среднего предпринимательства составило в 2015 году - 309,92, в 2016 году - 353,44 единиц. Рост субъектов малого и среднего предпринимательства связан с активизацией предпринимательской деятельности по причине улучшения налогового климата и развития различных форм поддержки предпринимательства в рамках реализации подпрограммы «Развитие субъектов малого и среднего предпринимательства в Белокалитвинском районе» муниципальной программы «Экономическое развитие и инновационная экономика».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В прогнозируемом периоде ожидается сохранение тенденции роста числа субъектов малого и среднего предпринимательства: в 2017 году - 354,13 единиц в расчете на 10 тыс. жителей района, 2018 - 356,00 и 2019 - 358,00 за счет продолжения реализации муниципальной программы.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color w:val="FF0000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  <w:shd w:fill="FFFFFF" w:val="clear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  <w:shd w:fill="FFFFFF" w:val="clear"/>
        </w:rPr>
        <w:t>Показатель 2.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организаций.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 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В 2016 году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Белокалитвинского района увеличилась на 0,2 процентных пункта и составила 24,50%. 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В 2017 году ожидается значение данного показателя на уровне 25,10%.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В 2018-2019 годах прогнозируется увеличение данного показателя до 25,70% и 26,30% соответственно в связи с сохранением динамики превышения темпов роста численности работников малых и средних предприятий над темпом роста численности работников всех предприятий и организаций района.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sz w:val="28"/>
          <w:szCs w:val="28"/>
          <w:shd w:fill="FFFFFF" w:val="clear"/>
        </w:rPr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b/>
          <w:sz w:val="28"/>
          <w:szCs w:val="28"/>
          <w:shd w:fill="FFFFFF" w:val="clear"/>
        </w:rPr>
        <w:t>Показатель 3. Объем инвестиций в основной капитал (за исключением бюджетных средств) в расчете на 1 жителя.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bCs/>
          <w:sz w:val="28"/>
          <w:szCs w:val="28"/>
          <w:shd w:fill="FFFFFF" w:val="clear"/>
        </w:rPr>
        <w:t xml:space="preserve">В 2015 году объем инвестиций в основной капитал в расчете на 1 жителя сложился в сумме 14330,2 рублей. В 2016 году показатель увеличился на 102,03% и составил 28950,86 рублей. </w:t>
      </w:r>
    </w:p>
    <w:p>
      <w:pPr>
        <w:pStyle w:val="Normal"/>
        <w:spacing w:lineRule="auto" w:line="240" w:before="0" w:after="0"/>
        <w:ind w:firstLine="709"/>
        <w:jc w:val="both"/>
        <w:rPr>
          <w:shd w:fill="FFFF99" w:val="clear"/>
        </w:rPr>
      </w:pPr>
      <w:r>
        <w:rPr>
          <w:rFonts w:cs="Times New Roman" w:ascii="Times New Roman" w:hAnsi="Times New Roman"/>
          <w:bCs/>
          <w:sz w:val="28"/>
          <w:szCs w:val="28"/>
          <w:shd w:fill="FFFFFF" w:val="clear"/>
        </w:rPr>
        <w:t>Рост значения показателя обусловлен увеличением объема инвестиций в ООО «ШУ «Садкинское», направленных на монтаж и запуск лавы, приобретение горно-шахтного оборудования и строительство обогатительной фабрики, завершением проектов «Установка печи предварительного нагрева слябов перед прокаткой», а также «Установка линии обработки тонкого листа» и «Установка линии отделки тонкого листа длиной до 7 м» в АО «Алюминий Металлург Рус».</w:t>
      </w:r>
    </w:p>
    <w:p>
      <w:pPr>
        <w:pStyle w:val="Normal"/>
        <w:spacing w:lineRule="auto" w:line="240" w:before="0" w:after="0"/>
        <w:ind w:firstLine="709"/>
        <w:jc w:val="both"/>
        <w:rPr>
          <w:shd w:fill="FFFF99" w:val="clear"/>
        </w:rPr>
      </w:pPr>
      <w:r>
        <w:rPr>
          <w:rFonts w:cs="Times New Roman" w:ascii="Times New Roman" w:hAnsi="Times New Roman"/>
          <w:bCs/>
          <w:sz w:val="28"/>
          <w:szCs w:val="28"/>
          <w:shd w:fill="FFFFFF" w:val="clear"/>
        </w:rPr>
        <w:t xml:space="preserve">В 2017 году завершатся инвестиционные проекты АО «Алюминий Металлург Рус» «Установка линии очистки поверхности плит» и «Строительство печи для плавления стружки», а также «Строительство обогатительной фабрики» ООО «ШУ «Садкинское». Объем инвестиций в основной капитал в расчете на 1 жителя прогнозируется на уровне 29020,77 рублей. 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bCs/>
          <w:sz w:val="28"/>
          <w:szCs w:val="28"/>
          <w:shd w:fill="FFFFFF" w:val="clear"/>
        </w:rPr>
        <w:t>В 2018 году прогнозируется увеличение значения данного показателя до 29239,70 рублей. ООО «ШУ «Садкинское» планирует приобретение очистного оборудования и модернизацию подземной транспортной цепочки. АО «Алюминий Металлург Рус» планирует осуществление модернизации производства.</w:t>
      </w:r>
    </w:p>
    <w:p>
      <w:pPr>
        <w:pStyle w:val="Normal"/>
        <w:spacing w:lineRule="auto" w:line="240" w:before="0" w:after="0"/>
        <w:ind w:firstLine="709"/>
        <w:jc w:val="both"/>
        <w:rPr>
          <w:shd w:fill="FFFF99" w:val="clear"/>
        </w:rPr>
      </w:pPr>
      <w:r>
        <w:rPr>
          <w:rFonts w:cs="Times New Roman" w:ascii="Times New Roman" w:hAnsi="Times New Roman"/>
          <w:bCs/>
          <w:sz w:val="28"/>
          <w:szCs w:val="28"/>
          <w:shd w:fill="FFFFFF" w:val="clear"/>
        </w:rPr>
        <w:t>В 2019 году ООО «ШУ «Садкинское» направит инвестиции на приобретение и монтаж горного оборудования. Предприятия металлургического сектора экономики предполагают направить средства на обновление оборудования. Объем инвестиций в основной капитал в расчете на 1 жителя по прогнозу увеличится до 29448,41 рублей.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bCs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bCs/>
          <w:sz w:val="28"/>
          <w:szCs w:val="28"/>
          <w:shd w:fill="FFFFFF" w:val="clear"/>
        </w:rPr>
      </w:r>
    </w:p>
    <w:p>
      <w:pPr>
        <w:pStyle w:val="Normal"/>
        <w:spacing w:lineRule="auto" w:line="240" w:before="0" w:after="0"/>
        <w:ind w:firstLine="709"/>
        <w:jc w:val="both"/>
        <w:rPr>
          <w:shd w:fill="FFFF99" w:val="clear"/>
        </w:rPr>
      </w:pPr>
      <w:r>
        <w:rPr>
          <w:rFonts w:cs="Times New Roman" w:ascii="Times New Roman" w:hAnsi="Times New Roman"/>
          <w:b/>
          <w:bCs/>
          <w:sz w:val="28"/>
          <w:szCs w:val="28"/>
          <w:shd w:fill="FFFFFF" w:val="clear"/>
        </w:rPr>
        <w:t>Показатель 4. Доля площади земельных участков, являющихся объектами налогообложения земельным налогом, в общей площади территории городского округа (муниципального района).</w:t>
      </w:r>
    </w:p>
    <w:p>
      <w:pPr>
        <w:pStyle w:val="Normal"/>
        <w:spacing w:lineRule="auto" w:line="240" w:before="0" w:after="0"/>
        <w:ind w:firstLine="709"/>
        <w:jc w:val="both"/>
        <w:rPr>
          <w:shd w:fill="FFFF99" w:val="clear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По итогам 2016 года 99,00% площади земельных участков являются объектами налогообложения (в 2015 году - 99,00%). К 2019 году данный показатель будет доведен до 100%.</w:t>
        <w:tab/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bCs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bCs/>
          <w:sz w:val="28"/>
          <w:szCs w:val="28"/>
          <w:shd w:fill="FFFFFF" w:val="clear"/>
        </w:rPr>
      </w:r>
    </w:p>
    <w:p>
      <w:pPr>
        <w:pStyle w:val="Normal"/>
        <w:spacing w:lineRule="auto" w:line="240" w:before="0" w:after="0"/>
        <w:ind w:firstLine="709"/>
        <w:jc w:val="both"/>
        <w:rPr>
          <w:shd w:fill="FFFF99" w:val="clear"/>
        </w:rPr>
      </w:pPr>
      <w:r>
        <w:rPr>
          <w:rFonts w:cs="Times New Roman" w:ascii="Times New Roman" w:hAnsi="Times New Roman"/>
          <w:b/>
          <w:bCs/>
          <w:sz w:val="28"/>
          <w:szCs w:val="28"/>
          <w:shd w:fill="FFFFFF" w:val="clear"/>
        </w:rPr>
        <w:t>Показатель 5. Доля прибыльных сельскохозяйственных организаций в общем их числе.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bCs/>
          <w:sz w:val="28"/>
          <w:szCs w:val="28"/>
          <w:shd w:fill="FFFFFF" w:val="clear"/>
        </w:rPr>
        <w:t>Доля прибыльных сельскохозяйственных организаций в 2016 году увеличилась на 3 процентных пункта и составила 95%, так как финансовое состояние предприятий улучшено в связи с получением валового сбора зерновых и зернобобовых культур на 34,2% выше уровня 2015 года. Однако 1 предприятие получило убытки: ОАО «Птицефабрика Белокалитвинская». В результате принимаемых мер по выведению ОАО «Птицефабрика Белокалитвинская» на рентабельный уровень работы, в 2018-2019 годах доля прибыльных предприятий составит 100%.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sz w:val="28"/>
          <w:szCs w:val="28"/>
          <w:shd w:fill="FFFFFF" w:val="clear"/>
        </w:rPr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b/>
          <w:sz w:val="28"/>
          <w:szCs w:val="28"/>
          <w:shd w:fill="FFFFFF" w:val="clear"/>
        </w:rPr>
        <w:t>Показатель 6. 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Доля автомобильных дорог общего пользования местного значения, не отвечающих нормативным требованиям, в 2016 году составила 52,60 %. В отчетном году работа по ремонту, содержанию и строительству автомобильных дорог велась активно: произведен капитальный ремонт автомобильной дороги «х. Голубинка -                       х. Казьминка» </w:t>
      </w:r>
      <w:r>
        <w:rPr>
          <w:rFonts w:eastAsia="Calibri" w:cs="Times New Roman" w:ascii="Times New Roman" w:hAnsi="Times New Roman"/>
          <w:bCs/>
          <w:sz w:val="28"/>
          <w:szCs w:val="28"/>
          <w:shd w:fill="FFFFFF" w:val="clear"/>
          <w:lang w:eastAsia="ru-RU"/>
        </w:rPr>
        <w:t xml:space="preserve">протяженностью 2,4 км, произведен капитальный ремонт автомобильной дороги </w:t>
      </w:r>
      <w:r>
        <w:rPr>
          <w:rFonts w:cs="Times New Roman" w:ascii="Times New Roman" w:hAnsi="Times New Roman"/>
          <w:sz w:val="28"/>
          <w:szCs w:val="28"/>
          <w:shd w:fill="FFFFFF" w:val="clear"/>
          <w:lang w:eastAsia="ru-RU"/>
        </w:rPr>
        <w:t xml:space="preserve">«Подъезд от автомобильной дороги «пос. Углекаменный -         х. Западный» к пос. Боярышниковый»» протяженностью 2,2 км, завершен капитальный ремонт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  <w:lang w:eastAsia="ru-RU"/>
        </w:rPr>
        <w:t xml:space="preserve">подъездной дороги по ул. Кирова к МБДОУ ДС «Теремок»                  в п. Сосны Белокалитвинского района протяженностью 0,8 км. </w:t>
      </w:r>
      <w:r>
        <w:rPr>
          <w:rFonts w:eastAsia="Calibri" w:cs="Times New Roman" w:ascii="Times New Roman" w:hAnsi="Times New Roman"/>
          <w:bCs/>
          <w:sz w:val="28"/>
          <w:szCs w:val="28"/>
          <w:shd w:fill="FFFFFF" w:val="clear"/>
          <w:lang w:eastAsia="ru-RU"/>
        </w:rPr>
        <w:t xml:space="preserve"> Также в 2016 году начата паспортизация автомобильных дорог общего пользования местного значения, в результате которой уменьшилась общая протяженность автомобильных дорог. П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>оэтому по сравнению с 2015 годом данный показатель снизился на 0,43%.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fill="FFFF99" w:val="clear"/>
          <w:lang w:eastAsia="ru-RU"/>
        </w:rPr>
      </w:pPr>
      <w:r>
        <w:rPr>
          <w:rFonts w:cs="Times New Roman" w:ascii="Times New Roman" w:hAnsi="Times New Roman"/>
          <w:sz w:val="28"/>
          <w:szCs w:val="28"/>
          <w:shd w:fill="FFFFFF" w:val="clear"/>
          <w:lang w:eastAsia="ru-RU"/>
        </w:rPr>
        <w:t xml:space="preserve">В 2017 году планируется продолжать принимать меры по приведению автомобильных дорог общего пользования местного значения к нормативным требованиям, закончить паспортизацию </w:t>
      </w:r>
      <w:r>
        <w:rPr>
          <w:rFonts w:eastAsia="Calibri" w:cs="Times New Roman" w:ascii="Times New Roman" w:hAnsi="Times New Roman"/>
          <w:bCs/>
          <w:sz w:val="28"/>
          <w:szCs w:val="28"/>
          <w:shd w:fill="FFFFFF" w:val="clear"/>
          <w:lang w:eastAsia="ru-RU"/>
        </w:rPr>
        <w:t>автомобильных дорог общего пользования местного значения и</w:t>
      </w:r>
      <w:r>
        <w:rPr>
          <w:rFonts w:cs="Times New Roman" w:ascii="Times New Roman" w:hAnsi="Times New Roman"/>
          <w:sz w:val="28"/>
          <w:szCs w:val="28"/>
          <w:shd w:fill="FFFFFF" w:val="clear"/>
          <w:lang w:eastAsia="ru-RU"/>
        </w:rPr>
        <w:t xml:space="preserve"> довести значение данного показателя до 52,37%, в 2018 году - до 52,17%, в 2019 году - до 51,97%.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sz w:val="28"/>
          <w:szCs w:val="28"/>
          <w:shd w:fill="FFFFFF" w:val="clear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  <w:shd w:fill="FFFFFF" w:val="clear"/>
        </w:rPr>
        <w:t>Показатель 7. 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 (муниципального района), в общей численности населения городского округа (муниципального района).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По состоянию на 1 января 2017 года на территории Белокалитвинского района расположены 15 населенных пунктов с общей численностью 723 человека, которые не имеют регулярного автобусного и (или) железнодорожного сообщения с административным центром - город Белая Калитва. В результате этого доля населения, проживающего в данных  населенных пунктах, составила 0,77%. По отношению к 2015 году показатель улучшен на 0,01 процентных пункта в связи с обеспечением пассажирским транспортом 41 жителя пос. Боярышниковый.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Причины отсутствия автобусного сообщения, это: 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- малая численность проживающих в населенных пунктах (от 8 человек до 90 человек), являющаяся основным фактором, влияющим на непредставление межбюджетных трансфертов на строительство дорог;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- большая отдаленность от административного центра, в связи с чем движение пассажирского автотранспорта является нерентабельным, а также несоответствие отдельных автомобильных дорог нормативным требованиям по обеспечению безопасности дорожного движения.</w:t>
      </w:r>
    </w:p>
    <w:p>
      <w:pPr>
        <w:pStyle w:val="Normal"/>
        <w:spacing w:lineRule="auto" w:line="240" w:before="0" w:after="0"/>
        <w:ind w:firstLine="709"/>
        <w:jc w:val="both"/>
        <w:rPr>
          <w:shd w:fill="FFFFFF" w:val="clear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Администрация Белокалитвинского района продолжает взаимодействовать с руководителями организаций, осуществляющих пассажирские перевозки, по вопросу внесения изменений в схемы движения автотранспорта и охвата ранее не обеспеченного пассажирскими перевозками населения, что позволит снизить значение  показателя в 2017 году - до 0,76%, в 2018 году - до 0,75%, в 2019 году - до 0,74%.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b/>
          <w:sz w:val="28"/>
          <w:szCs w:val="28"/>
          <w:shd w:fill="FFFFFF" w:val="clear"/>
        </w:rPr>
        <w:t>Показатель 8. Среднемесячная номинальная заработная плата работников: крупных и средних предприятий и некоммерческих организаций Белокалитвинского района; муниципальных дошкольных образовательных учреждений; муниципальных общеобразовательных учреждений; муниципальных учреждений культуры и искусства; муниципальных учреждений физической культуры и спорта.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В 2016 году среднемесячная номинальная заработная плата работников крупных и средних предприятий и некоммерческих организаций Белокалитвинского района увеличилась по сравнению с 2015 годом на 6,18% и составила 22440,60 рублей.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Рост среднемесячной номинальной заработной платы работников обусловлен доведением минимального размера оплаты труда до величины прожиточного минимума трудоспособного населения в Ростовской области на предприятиях внебюджетной сферы. На 2017-2019 годы прогнозируется увеличение среднемесячной заработной платы и доведение ее к 2019 году до 27567,00 рублей.</w:t>
      </w:r>
    </w:p>
    <w:p>
      <w:pPr>
        <w:pStyle w:val="Normal"/>
        <w:suppressAutoHyphens w:val="false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  <w:shd w:fill="FFFFFF" w:val="clear"/>
          <w:lang w:eastAsia="ru-RU"/>
        </w:rPr>
        <w:t xml:space="preserve"> </w:t>
      </w:r>
      <w:r>
        <w:rPr>
          <w:rFonts w:cs="Times New Roman" w:ascii="Times New Roman" w:hAnsi="Times New Roman"/>
          <w:sz w:val="28"/>
          <w:szCs w:val="28"/>
          <w:shd w:fill="FFFFFF" w:val="clear"/>
          <w:lang w:eastAsia="ru-RU"/>
        </w:rPr>
        <w:t>В 2016 году среднемесячная начисленная заработная плата работников муниципальных дошкольных образовательных учреждений составила 14325,80 рублей и увеличилась по сравнению с 2015 годом на 857,20 рублей в связи с увеличением минимального размера оплаты труда с 5965 рублей в 2015 году до 6204 рублей с 1 января 2016 года и до 7500 рублей с 1 июля 2016 года и доведением средней заработной платы педагогических работников дошкольных образовательных учреждений до 100% средней заработной платы в сфере общего образования в Ростовской области в соответствии с Указом Президента Российской Федерации от 07.05.2012 №597 «О мероприятиях по реализации государственной социальной политики». Рост среднемесячной начисленной заработной платы работников муниципальных дошкольных образовательных учреждений в 2017-2019 годах обусловлен продолжающимся поэтапным повышением заработной платы педагогических работников и прогнозируемым увеличением минимального размера оплаты труда с 1 июля 2017 года до 7800 рублей.</w:t>
      </w:r>
    </w:p>
    <w:p>
      <w:pPr>
        <w:pStyle w:val="Normal"/>
        <w:suppressAutoHyphens w:val="false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  <w:shd w:fill="FFFFFF" w:val="clear"/>
          <w:lang w:eastAsia="ru-RU"/>
        </w:rPr>
        <w:t>В 2016 году среднемесячная начисленная заработная плата работников муниципальных общеобразовательных учреждений составила 20578,00 рублей и увеличилась по сравнению с 2015 годом на 243,60 рублей в связи с увеличением минимального размера оплаты труда с 5965 рублей в 2015  году до 6204 рублей с 1 января 2016 года и до 7500 рублей с 1 июля 2016 года и доведением средней заработной платы педагогических работников общеобразовательных учреждений до 100% средней заработной платы в сфере общего образования в Ростовской области в соответствии с Указом Президента Российской Федерации от 07.05.2012 №597 «О мероприятиях по реализации государственной социальной политики». Рост среднемесячной начисленной заработной платы работников муниципальных дошкольных образовательных учреждений в 2017-2019 годах обусловлен продолжающимся поэтапным повышением заработной платы педагогических работников и прогнозируемым увеличением минимального размера оплаты труда с 1 июля 2017 года до 7800 рублей.</w:t>
      </w:r>
    </w:p>
    <w:p>
      <w:pPr>
        <w:pStyle w:val="Normal"/>
        <w:suppressAutoHyphens w:val="false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  <w:shd w:fill="FFFFFF" w:val="clear"/>
          <w:lang w:eastAsia="ru-RU"/>
        </w:rPr>
        <w:t>В 2016 году среднемесячная начисленная заработная плата учителей муниципальных общеобразовательных  учреждений составила 26836,40 рублей и уменьшилась по сравнению с 2015 годом на 102,90 рублей в связи с изменением методики расчета этого показателя в 2015 году по сравнению с 2016 годом. В 2015 году в расчет средней заработной платы учителей были включены расходы на выплату материальной помощи. При этом среднемесячная начисленная заработная плата учителей муниципальных общеобразовательных  учреждений в 2016 году превысила среднеобластной уровень на 1350,40 рублей, или на 5,3%. Рост среднемесячной начисленной заработной платы учителей муниципальных общеобразовательных учреждений в 2017-2019 годах обусловлен продолжающимся поэтапным повышением заработной платы учителей.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В 2016 году среднемесячная начисленная заработная плата работников муниципальных учреждений культуры и искусства составила 18298,90 рублей и увеличилась по сравнению с 2015 годом на 2999,60 рублей.  В 2017 году ожидается достижение целевого показателя 22650,0 рублей согласно «дорожной карте». В прогнозируемый период уровень среднемесячной номинальной заработной платы работников учреждений культуры и искусства будет повышаться </w:t>
      </w:r>
      <w:r>
        <w:rPr>
          <w:rFonts w:cs="Times New Roman" w:ascii="Times New Roman" w:hAnsi="Times New Roman"/>
          <w:sz w:val="28"/>
          <w:szCs w:val="28"/>
          <w:shd w:fill="FFFFFF" w:val="clear"/>
          <w:lang w:eastAsia="ru-RU"/>
        </w:rPr>
        <w:t>в соответствии с реализацией Указа Президента Российской Федерации от 07.05.2012 №597 «О мероприятиях по реализации государственной социальной политики» и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 постановления Администрации Белокалитвинского района от 24.04.2013 №613 «Об утверждении Плана мероприятий («дорожной карты»).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Среднемесячная начисленная заработная плата работников муниципальных  учреждений физической культуры и спорта не отражается с 2015 года и в дальнейшем не прогнозируется в связи с тем, что единственное муниципальное учреждение данного профиля (МБОУ ДОД «ДЮСШ №3») изменило в 2014 году ОКВЭД и стало учреждением дополнительного образования детей.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  <w:shd w:fill="FFFFFF" w:val="clear"/>
        </w:rPr>
        <w:t>II. Дошкольное образование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sz w:val="28"/>
          <w:szCs w:val="28"/>
          <w:shd w:fill="FFFFFF" w:val="clear"/>
        </w:rPr>
      </w:r>
    </w:p>
    <w:p>
      <w:pPr>
        <w:pStyle w:val="Normal"/>
        <w:spacing w:lineRule="auto" w:line="240" w:before="0" w:after="0"/>
        <w:ind w:firstLine="709"/>
        <w:jc w:val="both"/>
        <w:rPr>
          <w:shd w:fill="FFFF99" w:val="clear"/>
        </w:rPr>
      </w:pPr>
      <w:r>
        <w:rPr>
          <w:rFonts w:eastAsia="Calibri" w:cs="Times New Roman" w:ascii="Times New Roman" w:hAnsi="Times New Roman"/>
          <w:b/>
          <w:sz w:val="28"/>
          <w:szCs w:val="28"/>
          <w:shd w:fill="FFFFFF" w:val="clear"/>
          <w:lang w:eastAsia="en-US"/>
        </w:rPr>
        <w:t xml:space="preserve">Показатель 9. Доля детей в возрасте 1 - 6 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 возрасте 1 - 6 лет. </w:t>
      </w:r>
    </w:p>
    <w:p>
      <w:pPr>
        <w:pStyle w:val="Normal"/>
        <w:spacing w:lineRule="auto" w:line="240" w:before="0" w:after="0"/>
        <w:ind w:firstLine="709"/>
        <w:jc w:val="both"/>
        <w:rPr>
          <w:shd w:fill="FFFFFF" w:val="clear"/>
        </w:rPr>
      </w:pPr>
      <w:r>
        <w:rPr>
          <w:rFonts w:eastAsia="Calibri" w:cs="Times New Roman" w:ascii="Times New Roman" w:hAnsi="Times New Roman"/>
          <w:sz w:val="28"/>
          <w:szCs w:val="28"/>
          <w:shd w:fill="FFFFFF" w:val="clear"/>
          <w:lang w:eastAsia="en-US"/>
        </w:rPr>
        <w:t>В 2016 году по отношению к 2015 году данный показатель вырос на 0,1 процентного пункта и составил 57,10%.</w:t>
      </w:r>
    </w:p>
    <w:p>
      <w:pPr>
        <w:pStyle w:val="Normal"/>
        <w:spacing w:lineRule="auto" w:line="240" w:before="0" w:after="0"/>
        <w:ind w:firstLine="709"/>
        <w:jc w:val="both"/>
        <w:rPr>
          <w:shd w:fill="FFFF99" w:val="clear"/>
        </w:rPr>
      </w:pPr>
      <w:r>
        <w:rPr>
          <w:rFonts w:eastAsia="Calibri" w:cs="Times New Roman" w:ascii="Times New Roman" w:hAnsi="Times New Roman"/>
          <w:sz w:val="28"/>
          <w:szCs w:val="28"/>
          <w:shd w:fill="FFFFFF" w:val="clear"/>
          <w:lang w:eastAsia="en-US"/>
        </w:rPr>
        <w:t>Рост значения данного показателя связан с доукомплектованием и введением после капитального ремонта МБДОУ ДС № 42 «Дюймовочка».</w:t>
      </w:r>
    </w:p>
    <w:p>
      <w:pPr>
        <w:pStyle w:val="Normal"/>
        <w:spacing w:lineRule="auto" w:line="240" w:before="0" w:after="0"/>
        <w:ind w:firstLine="709"/>
        <w:jc w:val="both"/>
        <w:rPr>
          <w:shd w:fill="FFFFFF" w:val="clear"/>
        </w:rPr>
      </w:pPr>
      <w:r>
        <w:rPr>
          <w:rFonts w:eastAsia="Calibri" w:cs="Times New Roman" w:ascii="Times New Roman" w:hAnsi="Times New Roman"/>
          <w:sz w:val="28"/>
          <w:szCs w:val="28"/>
          <w:shd w:fill="FFFFFF" w:val="clear"/>
          <w:lang w:eastAsia="en-US"/>
        </w:rPr>
        <w:t>В 2019 году данный показатель планируется увеличить до 70,00% в связи с планируемым введением в действие трех строящихся детских садов на 460 мест.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b/>
          <w:b/>
          <w:sz w:val="28"/>
          <w:szCs w:val="28"/>
          <w:shd w:fill="FFFFFF" w:val="clear"/>
          <w:lang w:eastAsia="en-US"/>
        </w:rPr>
      </w:pPr>
      <w:r>
        <w:rPr>
          <w:rFonts w:eastAsia="Calibri" w:cs="Times New Roman" w:ascii="Times New Roman" w:hAnsi="Times New Roman"/>
          <w:b/>
          <w:sz w:val="28"/>
          <w:szCs w:val="28"/>
          <w:shd w:fill="FFFFFF" w:val="clear"/>
          <w:lang w:eastAsia="en-US"/>
        </w:rPr>
      </w:r>
    </w:p>
    <w:p>
      <w:pPr>
        <w:pStyle w:val="Normal"/>
        <w:spacing w:lineRule="auto" w:line="240" w:before="0" w:after="0"/>
        <w:ind w:firstLine="709"/>
        <w:jc w:val="both"/>
        <w:rPr>
          <w:shd w:fill="FFFF99" w:val="clear"/>
        </w:rPr>
      </w:pPr>
      <w:r>
        <w:rPr>
          <w:rFonts w:eastAsia="Calibri" w:cs="Times New Roman" w:ascii="Times New Roman" w:hAnsi="Times New Roman"/>
          <w:b/>
          <w:sz w:val="28"/>
          <w:szCs w:val="28"/>
          <w:shd w:fill="FFFFFF" w:val="clear"/>
          <w:lang w:eastAsia="en-US"/>
        </w:rPr>
        <w:t xml:space="preserve">Показатель 10. Доля детей в возрасте 1 - 6 лет, стоящих на учете для определения в муниципальные дошкольные образовательные учреждения, в общей численности детей в возрасте 1 - 6 лет. </w:t>
      </w:r>
    </w:p>
    <w:p>
      <w:pPr>
        <w:pStyle w:val="Normal"/>
        <w:spacing w:lineRule="auto" w:line="240" w:before="0" w:after="0"/>
        <w:ind w:firstLine="709"/>
        <w:jc w:val="both"/>
        <w:rPr>
          <w:shd w:fill="FFFFFF" w:val="clear"/>
        </w:rPr>
      </w:pPr>
      <w:r>
        <w:rPr>
          <w:rFonts w:eastAsia="Calibri" w:cs="Times New Roman" w:ascii="Times New Roman" w:hAnsi="Times New Roman"/>
          <w:sz w:val="28"/>
          <w:szCs w:val="28"/>
          <w:shd w:fill="FFFFFF" w:val="clear"/>
          <w:lang w:eastAsia="en-US"/>
        </w:rPr>
        <w:t>В 2016 году по отношению к 2015 году данный показатель вырос на 0,87 процентного пункта и составил 18,47%.</w:t>
      </w:r>
    </w:p>
    <w:p>
      <w:pPr>
        <w:pStyle w:val="Normal"/>
        <w:spacing w:lineRule="auto" w:line="240" w:before="0" w:after="0"/>
        <w:ind w:firstLine="709"/>
        <w:jc w:val="both"/>
        <w:rPr>
          <w:shd w:fill="FFFF99" w:val="clear"/>
        </w:rPr>
      </w:pPr>
      <w:r>
        <w:rPr>
          <w:rFonts w:eastAsia="Calibri" w:cs="Times New Roman" w:ascii="Times New Roman" w:hAnsi="Times New Roman"/>
          <w:sz w:val="28"/>
          <w:szCs w:val="28"/>
          <w:shd w:fill="FFFFFF" w:val="clear"/>
          <w:lang w:eastAsia="en-US"/>
        </w:rPr>
        <w:t>Увеличение данного показателя объясняется ростом поставленных на учет в автоматизированную систему «Электронный детский сад» на 56 человек, а так же уменьшением численности детей от 1 года до 6 лет на 58 человек.</w:t>
      </w:r>
    </w:p>
    <w:p>
      <w:pPr>
        <w:pStyle w:val="Normal"/>
        <w:spacing w:lineRule="auto" w:line="240" w:before="0" w:after="0"/>
        <w:ind w:firstLine="709"/>
        <w:jc w:val="both"/>
        <w:rPr>
          <w:shd w:fill="FFFFFF" w:val="clear"/>
        </w:rPr>
      </w:pPr>
      <w:r>
        <w:rPr>
          <w:rFonts w:eastAsia="Calibri" w:cs="Times New Roman" w:ascii="Times New Roman" w:hAnsi="Times New Roman"/>
          <w:sz w:val="28"/>
          <w:szCs w:val="28"/>
          <w:shd w:fill="FFFFFF" w:val="clear"/>
          <w:lang w:eastAsia="en-US"/>
        </w:rPr>
        <w:t>К 2019 году данный показатель планируется довести до 6,00% в связи с планируемым введением в действие трех строящихся детских садов на 460 мест.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b/>
          <w:b/>
          <w:sz w:val="28"/>
          <w:szCs w:val="28"/>
          <w:shd w:fill="FFFFFF" w:val="clear"/>
          <w:lang w:eastAsia="en-US"/>
        </w:rPr>
      </w:pPr>
      <w:r>
        <w:rPr>
          <w:rFonts w:eastAsia="Calibri" w:cs="Times New Roman" w:ascii="Times New Roman" w:hAnsi="Times New Roman"/>
          <w:b/>
          <w:sz w:val="28"/>
          <w:szCs w:val="28"/>
          <w:shd w:fill="FFFFFF" w:val="clear"/>
          <w:lang w:eastAsia="en-US"/>
        </w:rPr>
      </w:r>
    </w:p>
    <w:p>
      <w:pPr>
        <w:pStyle w:val="Normal"/>
        <w:spacing w:lineRule="auto" w:line="240" w:before="0" w:after="0"/>
        <w:ind w:firstLine="709"/>
        <w:jc w:val="both"/>
        <w:rPr>
          <w:shd w:fill="FFFF99" w:val="clear"/>
        </w:rPr>
      </w:pPr>
      <w:r>
        <w:rPr>
          <w:rFonts w:eastAsia="Calibri" w:cs="Times New Roman" w:ascii="Times New Roman" w:hAnsi="Times New Roman"/>
          <w:b/>
          <w:sz w:val="28"/>
          <w:szCs w:val="28"/>
          <w:shd w:fill="FFFFFF" w:val="clear"/>
          <w:lang w:eastAsia="en-US"/>
        </w:rPr>
        <w:t>Показатель 11. 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учреждений.</w:t>
      </w:r>
    </w:p>
    <w:p>
      <w:pPr>
        <w:pStyle w:val="Normal"/>
        <w:spacing w:lineRule="auto" w:line="240" w:before="0" w:after="0"/>
        <w:ind w:firstLine="709"/>
        <w:jc w:val="both"/>
        <w:rPr>
          <w:shd w:fill="FFFF99" w:val="clear"/>
        </w:rPr>
      </w:pPr>
      <w:r>
        <w:rPr>
          <w:rFonts w:eastAsia="Calibri" w:cs="Times New Roman" w:ascii="Times New Roman" w:hAnsi="Times New Roman"/>
          <w:sz w:val="28"/>
          <w:szCs w:val="28"/>
          <w:shd w:fill="FFFFFF" w:val="clear"/>
          <w:lang w:eastAsia="en-US"/>
        </w:rPr>
        <w:t xml:space="preserve">В 2016 году данный показатель остался на уровне 2015 года. Это связано с тем, что количество муниципальных дошкольных образовательных организаций, здания которых находятся в аварийном состоянии или требуют капитального ремонта, составило 1 единицу (МБДОУ ДС № 27 «Морячок»). </w:t>
      </w:r>
    </w:p>
    <w:p>
      <w:pPr>
        <w:pStyle w:val="Normal"/>
        <w:spacing w:lineRule="auto" w:line="240" w:before="0" w:after="0"/>
        <w:ind w:firstLine="709"/>
        <w:jc w:val="both"/>
        <w:rPr>
          <w:shd w:fill="FFFFFF" w:val="clear"/>
        </w:rPr>
      </w:pPr>
      <w:r>
        <w:rPr>
          <w:rFonts w:eastAsia="Calibri" w:cs="Times New Roman" w:ascii="Times New Roman" w:hAnsi="Times New Roman"/>
          <w:sz w:val="28"/>
          <w:szCs w:val="28"/>
          <w:shd w:fill="FFFFFF" w:val="clear"/>
          <w:lang w:eastAsia="en-US"/>
        </w:rPr>
        <w:t>В 2017-2019 годах данный показатель прогнозируется на уровне 0,00%, так как в феврале 2017 года учреждение МБДОУ ДС №27 «Морячок» ликвидировано.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b/>
          <w:b/>
          <w:sz w:val="28"/>
          <w:szCs w:val="28"/>
          <w:shd w:fill="FFFFFF" w:val="clear"/>
          <w:lang w:eastAsia="en-US"/>
        </w:rPr>
      </w:pPr>
      <w:r>
        <w:rPr>
          <w:rFonts w:eastAsia="Calibri" w:cs="Times New Roman" w:ascii="Times New Roman" w:hAnsi="Times New Roman"/>
          <w:b/>
          <w:sz w:val="28"/>
          <w:szCs w:val="28"/>
          <w:shd w:fill="FFFFFF" w:val="clear"/>
          <w:lang w:eastAsia="en-US"/>
        </w:rPr>
      </w:r>
    </w:p>
    <w:p>
      <w:pPr>
        <w:pStyle w:val="Normal"/>
        <w:spacing w:lineRule="auto" w:line="240" w:before="0" w:after="0"/>
        <w:ind w:firstLine="709"/>
        <w:jc w:val="center"/>
        <w:rPr>
          <w:shd w:fill="FFFFFF" w:val="clear"/>
        </w:rPr>
      </w:pPr>
      <w:r>
        <w:rPr>
          <w:rFonts w:eastAsia="Calibri" w:cs="Times New Roman" w:ascii="Times New Roman" w:hAnsi="Times New Roman"/>
          <w:b/>
          <w:sz w:val="28"/>
          <w:szCs w:val="28"/>
          <w:shd w:fill="FFFFFF" w:val="clear"/>
          <w:lang w:eastAsia="en-US"/>
        </w:rPr>
        <w:t>III. Общее и дополнительное образование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eastAsia="Calibri" w:cs="Times New Roman"/>
          <w:b/>
          <w:b/>
          <w:sz w:val="28"/>
          <w:szCs w:val="28"/>
          <w:shd w:fill="FFFFFF" w:val="clear"/>
          <w:lang w:eastAsia="en-US"/>
        </w:rPr>
      </w:pPr>
      <w:r>
        <w:rPr>
          <w:rFonts w:eastAsia="Calibri" w:cs="Times New Roman" w:ascii="Times New Roman" w:hAnsi="Times New Roman"/>
          <w:b/>
          <w:sz w:val="28"/>
          <w:szCs w:val="28"/>
          <w:shd w:fill="FFFFFF" w:val="clear"/>
          <w:lang w:eastAsia="en-US"/>
        </w:rPr>
      </w:r>
    </w:p>
    <w:p>
      <w:pPr>
        <w:pStyle w:val="Normal"/>
        <w:spacing w:lineRule="auto" w:line="240" w:before="0" w:after="0"/>
        <w:ind w:firstLine="709"/>
        <w:jc w:val="both"/>
        <w:rPr>
          <w:shd w:fill="FFFF99" w:val="clear"/>
        </w:rPr>
      </w:pPr>
      <w:r>
        <w:rPr>
          <w:rFonts w:eastAsia="Calibri" w:cs="Times New Roman" w:ascii="Times New Roman" w:hAnsi="Times New Roman"/>
          <w:b/>
          <w:sz w:val="28"/>
          <w:szCs w:val="28"/>
          <w:shd w:fill="FFFFFF" w:val="clear"/>
          <w:lang w:eastAsia="en-US"/>
        </w:rPr>
        <w:t>Показатель 12. Доля выпускников муниципальных общеобразовательных учреждений, сдавших единый государственный экзамен по русскому языку и математике, в общей численности выпускников муниципальных общеобразовательных учреждений, сдававших единый государственный экзамен по данным предметам.</w:t>
      </w:r>
    </w:p>
    <w:p>
      <w:pPr>
        <w:pStyle w:val="Normal"/>
        <w:spacing w:lineRule="auto" w:line="240" w:before="0" w:after="0"/>
        <w:ind w:firstLine="709"/>
        <w:jc w:val="both"/>
        <w:rPr>
          <w:shd w:fill="FFFFFF" w:val="clear"/>
        </w:rPr>
      </w:pPr>
      <w:r>
        <w:rPr>
          <w:rFonts w:eastAsia="Calibri" w:cs="Times New Roman" w:ascii="Times New Roman" w:hAnsi="Times New Roman"/>
          <w:sz w:val="28"/>
          <w:szCs w:val="28"/>
          <w:shd w:fill="FFFFFF" w:val="clear"/>
          <w:lang w:eastAsia="en-US"/>
        </w:rPr>
        <w:t>Доля выпускников, сдавших единый государственный экзамен по русскому языку и математике в 2016 году, увеличилась по отношению к 2015 году на 0,33 процентного пункта и составила 100,00%. Рост данного показателя связан с улучшением качества подготовки обучающихся к государственной итоговой аттестации.</w:t>
      </w:r>
    </w:p>
    <w:p>
      <w:pPr>
        <w:pStyle w:val="Normal"/>
        <w:spacing w:lineRule="auto" w:line="240" w:before="0" w:after="0"/>
        <w:ind w:firstLine="709"/>
        <w:jc w:val="both"/>
        <w:rPr>
          <w:shd w:fill="FFFF99" w:val="clear"/>
        </w:rPr>
      </w:pPr>
      <w:r>
        <w:rPr>
          <w:rFonts w:eastAsia="Calibri" w:cs="Times New Roman" w:ascii="Times New Roman" w:hAnsi="Times New Roman"/>
          <w:sz w:val="28"/>
          <w:szCs w:val="28"/>
          <w:shd w:fill="FFFFFF" w:val="clear"/>
          <w:lang w:eastAsia="en-US"/>
        </w:rPr>
        <w:t>В 2017-2019 годах данный показатель планируется не ниже уровня 100,00%.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b/>
          <w:b/>
          <w:sz w:val="28"/>
          <w:szCs w:val="28"/>
          <w:shd w:fill="FFFFFF" w:val="clear"/>
          <w:lang w:eastAsia="en-US"/>
        </w:rPr>
      </w:pPr>
      <w:r>
        <w:rPr>
          <w:rFonts w:eastAsia="Calibri" w:cs="Times New Roman" w:ascii="Times New Roman" w:hAnsi="Times New Roman"/>
          <w:b/>
          <w:sz w:val="28"/>
          <w:szCs w:val="28"/>
          <w:shd w:fill="FFFFFF" w:val="clear"/>
          <w:lang w:eastAsia="en-US"/>
        </w:rPr>
      </w:r>
    </w:p>
    <w:p>
      <w:pPr>
        <w:pStyle w:val="Normal"/>
        <w:spacing w:lineRule="auto" w:line="240" w:before="0" w:after="0"/>
        <w:ind w:firstLine="709"/>
        <w:jc w:val="both"/>
        <w:rPr>
          <w:shd w:fill="FFFF99" w:val="clear"/>
        </w:rPr>
      </w:pPr>
      <w:r>
        <w:rPr>
          <w:rFonts w:eastAsia="Calibri" w:cs="Times New Roman" w:ascii="Times New Roman" w:hAnsi="Times New Roman"/>
          <w:b/>
          <w:sz w:val="28"/>
          <w:szCs w:val="28"/>
          <w:shd w:fill="FFFFFF" w:val="clear"/>
          <w:lang w:eastAsia="en-US"/>
        </w:rPr>
        <w:t xml:space="preserve">Показатель 13. 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учреждений. </w:t>
      </w:r>
    </w:p>
    <w:p>
      <w:pPr>
        <w:pStyle w:val="Normal"/>
        <w:spacing w:lineRule="auto" w:line="240" w:before="0" w:after="0"/>
        <w:ind w:firstLine="709"/>
        <w:jc w:val="both"/>
        <w:rPr>
          <w:shd w:fill="FFFFFF" w:val="clear"/>
        </w:rPr>
      </w:pPr>
      <w:r>
        <w:rPr>
          <w:rFonts w:eastAsia="Calibri" w:cs="Times New Roman" w:ascii="Times New Roman" w:hAnsi="Times New Roman"/>
          <w:sz w:val="28"/>
          <w:szCs w:val="28"/>
          <w:shd w:fill="FFFFFF" w:val="clear"/>
          <w:lang w:eastAsia="en-US"/>
        </w:rPr>
        <w:t>Доля выпускников, не получивших аттестаты в 2016 году, уменьшилась по отношению к 2015 году на 0,33 процентного пункта и составила 0,00%. Улучшение данного показателя связано с повышением качества подготовки обучающихся к государственной итоговой аттестации.</w:t>
      </w:r>
    </w:p>
    <w:p>
      <w:pPr>
        <w:pStyle w:val="Normal"/>
        <w:spacing w:lineRule="auto" w:line="240" w:before="0" w:after="0"/>
        <w:ind w:firstLine="709"/>
        <w:jc w:val="both"/>
        <w:rPr>
          <w:shd w:fill="FFFF99" w:val="clear"/>
        </w:rPr>
      </w:pPr>
      <w:r>
        <w:rPr>
          <w:rFonts w:eastAsia="Calibri" w:cs="Times New Roman" w:ascii="Times New Roman" w:hAnsi="Times New Roman"/>
          <w:sz w:val="28"/>
          <w:szCs w:val="28"/>
          <w:shd w:fill="FFFFFF" w:val="clear"/>
          <w:lang w:eastAsia="en-US"/>
        </w:rPr>
        <w:t>В 2017-2019 годах данный показатель планируется на уровне 0,00%.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b/>
          <w:b/>
          <w:sz w:val="28"/>
          <w:szCs w:val="28"/>
          <w:shd w:fill="FFFFFF" w:val="clear"/>
          <w:lang w:eastAsia="en-US"/>
        </w:rPr>
      </w:pPr>
      <w:r>
        <w:rPr>
          <w:rFonts w:eastAsia="Calibri" w:cs="Times New Roman" w:ascii="Times New Roman" w:hAnsi="Times New Roman"/>
          <w:b/>
          <w:sz w:val="28"/>
          <w:szCs w:val="28"/>
          <w:shd w:fill="FFFFFF" w:val="clear"/>
          <w:lang w:eastAsia="en-US"/>
        </w:rPr>
      </w:r>
    </w:p>
    <w:p>
      <w:pPr>
        <w:pStyle w:val="Normal"/>
        <w:spacing w:lineRule="auto" w:line="240" w:before="0" w:after="0"/>
        <w:ind w:firstLine="709"/>
        <w:jc w:val="both"/>
        <w:rPr>
          <w:shd w:fill="FFFF99" w:val="clear"/>
        </w:rPr>
      </w:pPr>
      <w:r>
        <w:rPr>
          <w:rFonts w:eastAsia="Calibri" w:cs="Times New Roman" w:ascii="Times New Roman" w:hAnsi="Times New Roman"/>
          <w:b/>
          <w:sz w:val="28"/>
          <w:szCs w:val="28"/>
          <w:shd w:fill="FFFFFF" w:val="clear"/>
          <w:lang w:eastAsia="en-US"/>
        </w:rPr>
        <w:t>Показатель 14. 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учреждений.</w:t>
        <w:tab/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Calibri" w:cs="Times New Roman" w:ascii="Times New Roman" w:hAnsi="Times New Roman"/>
          <w:sz w:val="28"/>
          <w:szCs w:val="28"/>
          <w:shd w:fill="FFFFFF" w:val="clear"/>
          <w:lang w:eastAsia="en-US"/>
        </w:rPr>
        <w:t>В 2016 году данный показатель повысился по отношению к 2015 году на 13,34 процентных пунктов и составил 89,58%. Рост данного показателя связан с открытием пищеблока в МБОУ «Сосновская» СОШ и организацией дистанционного обучения в 7 (17%) образовательных организациях района (МБОУ СОШ №1,2,3,5,6,12,17).</w:t>
      </w:r>
    </w:p>
    <w:p>
      <w:pPr>
        <w:pStyle w:val="Normal"/>
        <w:spacing w:lineRule="auto" w:line="240" w:before="0" w:after="0"/>
        <w:ind w:firstLine="709"/>
        <w:jc w:val="both"/>
        <w:rPr>
          <w:shd w:fill="FFFF99" w:val="clear"/>
        </w:rPr>
      </w:pPr>
      <w:r>
        <w:rPr>
          <w:rFonts w:eastAsia="Calibri" w:cs="Times New Roman" w:ascii="Times New Roman" w:hAnsi="Times New Roman"/>
          <w:sz w:val="28"/>
          <w:szCs w:val="28"/>
          <w:shd w:fill="FFFFFF" w:val="clear"/>
          <w:lang w:eastAsia="en-US"/>
        </w:rPr>
        <w:t>К 2019 году планируется довести значение данного показателя до 90,00%.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b/>
          <w:b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b/>
          <w:sz w:val="28"/>
          <w:szCs w:val="28"/>
          <w:lang w:eastAsia="en-US"/>
        </w:rPr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Calibri" w:cs="Times New Roman" w:ascii="Times New Roman" w:hAnsi="Times New Roman"/>
          <w:b/>
          <w:sz w:val="28"/>
          <w:szCs w:val="28"/>
          <w:shd w:fill="FFFFFF" w:val="clear"/>
          <w:lang w:eastAsia="en-US"/>
        </w:rPr>
        <w:t xml:space="preserve">Показатель 15. 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учреждений. </w:t>
        <w:tab/>
      </w:r>
    </w:p>
    <w:p>
      <w:pPr>
        <w:pStyle w:val="Normal"/>
        <w:spacing w:lineRule="auto" w:line="240" w:before="0" w:after="0"/>
        <w:ind w:firstLine="709"/>
        <w:jc w:val="both"/>
        <w:rPr>
          <w:shd w:fill="FFFF99" w:val="clear"/>
        </w:rPr>
      </w:pPr>
      <w:r>
        <w:rPr>
          <w:rFonts w:eastAsia="Calibri" w:cs="Times New Roman" w:ascii="Times New Roman" w:hAnsi="Times New Roman"/>
          <w:sz w:val="28"/>
          <w:szCs w:val="28"/>
          <w:shd w:fill="FFFFFF" w:val="clear"/>
          <w:lang w:eastAsia="en-US"/>
        </w:rPr>
        <w:t>В 2016 году доля общеобразовательных организаций, здания которых находятся в аварийном состоянии или требуют капитального ремонта, осталась на уровне 2015 года и составила 2,38 % (МБОУ СОШ № 3).</w:t>
      </w:r>
    </w:p>
    <w:p>
      <w:pPr>
        <w:pStyle w:val="Normal"/>
        <w:spacing w:lineRule="auto" w:line="240" w:before="0" w:after="0"/>
        <w:ind w:firstLine="709"/>
        <w:jc w:val="both"/>
        <w:rPr>
          <w:shd w:fill="FFFFFF" w:val="clear"/>
        </w:rPr>
      </w:pPr>
      <w:r>
        <w:rPr>
          <w:rFonts w:eastAsia="Calibri" w:cs="Times New Roman" w:ascii="Times New Roman" w:hAnsi="Times New Roman"/>
          <w:sz w:val="28"/>
          <w:szCs w:val="28"/>
          <w:shd w:fill="FFFFFF" w:val="clear"/>
          <w:lang w:eastAsia="en-US"/>
        </w:rPr>
        <w:t>В 2017-2019 годах планируется сохранение данного показателя на уровне 2,38%.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b/>
          <w:b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b/>
          <w:sz w:val="28"/>
          <w:szCs w:val="28"/>
          <w:lang w:eastAsia="en-US"/>
        </w:rPr>
      </w:r>
    </w:p>
    <w:p>
      <w:pPr>
        <w:pStyle w:val="Normal"/>
        <w:spacing w:lineRule="auto" w:line="240" w:before="0" w:after="0"/>
        <w:ind w:firstLine="709"/>
        <w:jc w:val="both"/>
        <w:rPr>
          <w:shd w:fill="FFFF99" w:val="clear"/>
        </w:rPr>
      </w:pPr>
      <w:r>
        <w:rPr>
          <w:rFonts w:eastAsia="Calibri" w:cs="Times New Roman" w:ascii="Times New Roman" w:hAnsi="Times New Roman"/>
          <w:b/>
          <w:sz w:val="28"/>
          <w:szCs w:val="28"/>
          <w:shd w:fill="FFFFFF" w:val="clear"/>
          <w:lang w:eastAsia="en-US"/>
        </w:rPr>
        <w:t>Показатель 16. Доля детей первой и второй групп здоровья в общей численности обучающихся в муниципальных общеобразовательных учреждениях.</w:t>
        <w:tab/>
      </w:r>
    </w:p>
    <w:p>
      <w:pPr>
        <w:pStyle w:val="Normal"/>
        <w:spacing w:lineRule="auto" w:line="240" w:before="0" w:after="0"/>
        <w:ind w:firstLine="709"/>
        <w:jc w:val="both"/>
        <w:rPr>
          <w:shd w:fill="FFFFFF" w:val="clear"/>
        </w:rPr>
      </w:pPr>
      <w:r>
        <w:rPr>
          <w:rFonts w:eastAsia="Calibri" w:cs="Times New Roman" w:ascii="Times New Roman" w:hAnsi="Times New Roman"/>
          <w:sz w:val="28"/>
          <w:szCs w:val="28"/>
          <w:shd w:fill="FFFFFF" w:val="clear"/>
          <w:lang w:eastAsia="en-US"/>
        </w:rPr>
        <w:t>Доля детей I и II групп здоровья среди школьников остается стабильно высокой. В 2016 году данный показатель увеличился по отношению к 2015 году на 0,45 процентного пункта и составил 90,75%. Рост данного показателя связан с повышением качества медицинского обслуживания и внедрением здоровьесберегающих технологий в общеобразовательных организациях.</w:t>
      </w:r>
    </w:p>
    <w:p>
      <w:pPr>
        <w:pStyle w:val="Normal"/>
        <w:spacing w:lineRule="auto" w:line="240" w:before="0" w:after="0"/>
        <w:ind w:firstLine="709"/>
        <w:jc w:val="both"/>
        <w:rPr>
          <w:shd w:fill="FFFF99" w:val="clear"/>
        </w:rPr>
      </w:pPr>
      <w:r>
        <w:rPr>
          <w:rFonts w:eastAsia="Calibri" w:cs="Times New Roman" w:ascii="Times New Roman" w:hAnsi="Times New Roman"/>
          <w:sz w:val="28"/>
          <w:szCs w:val="28"/>
          <w:shd w:fill="FFFFFF" w:val="clear"/>
          <w:lang w:eastAsia="en-US"/>
        </w:rPr>
        <w:t>К 2019 году данный показатель планируется сохранить на уровне 90,75%.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b/>
          <w:b/>
          <w:sz w:val="28"/>
          <w:szCs w:val="28"/>
          <w:shd w:fill="FFFFFF" w:val="clear"/>
          <w:lang w:eastAsia="en-US"/>
        </w:rPr>
      </w:pPr>
      <w:r>
        <w:rPr>
          <w:rFonts w:eastAsia="Calibri" w:cs="Times New Roman" w:ascii="Times New Roman" w:hAnsi="Times New Roman"/>
          <w:b/>
          <w:sz w:val="28"/>
          <w:szCs w:val="28"/>
          <w:shd w:fill="FFFFFF" w:val="clear"/>
          <w:lang w:eastAsia="en-US"/>
        </w:rPr>
      </w:r>
    </w:p>
    <w:p>
      <w:pPr>
        <w:pStyle w:val="Normal"/>
        <w:spacing w:lineRule="auto" w:line="240" w:before="0" w:after="0"/>
        <w:ind w:firstLine="709"/>
        <w:jc w:val="both"/>
        <w:rPr>
          <w:shd w:fill="FFFF99" w:val="clear"/>
        </w:rPr>
      </w:pPr>
      <w:r>
        <w:rPr>
          <w:rFonts w:eastAsia="Calibri" w:cs="Times New Roman" w:ascii="Times New Roman" w:hAnsi="Times New Roman"/>
          <w:b/>
          <w:sz w:val="28"/>
          <w:szCs w:val="28"/>
          <w:shd w:fill="FFFFFF" w:val="clear"/>
          <w:lang w:eastAsia="en-US"/>
        </w:rPr>
        <w:t>Показатель 17. Доля обучающихся в муниципальных общеобразовательных учреждениях, занимающихся во вторую (третью) смену, в общей численности обучающихся в муниципальных общеобразовательных учреждениях.</w:t>
        <w:tab/>
      </w:r>
    </w:p>
    <w:p>
      <w:pPr>
        <w:pStyle w:val="Normal"/>
        <w:spacing w:lineRule="auto" w:line="240" w:before="0" w:after="0"/>
        <w:ind w:firstLine="709"/>
        <w:jc w:val="both"/>
        <w:rPr>
          <w:shd w:fill="FFFFFF" w:val="clear"/>
        </w:rPr>
      </w:pPr>
      <w:r>
        <w:rPr>
          <w:rFonts w:eastAsia="Calibri" w:cs="Times New Roman" w:ascii="Times New Roman" w:hAnsi="Times New Roman"/>
          <w:sz w:val="28"/>
          <w:szCs w:val="28"/>
          <w:shd w:fill="FFFFFF" w:val="clear"/>
          <w:lang w:eastAsia="en-US"/>
        </w:rPr>
        <w:t xml:space="preserve">Доля обучающихся в муниципальных общеобразовательных организациях, занимающихся во 2 смену, в 2016 году снизилась на 0,63 процентного пункта и составила 12,60%. Улучшение данного показателя связано с использованием внутренних резервов общеобразовательных организаций города. </w:t>
      </w:r>
    </w:p>
    <w:p>
      <w:pPr>
        <w:pStyle w:val="Normal"/>
        <w:spacing w:lineRule="auto" w:line="240" w:before="0" w:after="0"/>
        <w:ind w:firstLine="709"/>
        <w:jc w:val="both"/>
        <w:rPr>
          <w:shd w:fill="FFFFFF" w:val="clear"/>
        </w:rPr>
      </w:pPr>
      <w:r>
        <w:rPr>
          <w:rFonts w:eastAsia="Calibri" w:cs="Times New Roman" w:ascii="Times New Roman" w:hAnsi="Times New Roman"/>
          <w:sz w:val="28"/>
          <w:szCs w:val="28"/>
          <w:shd w:fill="FFFFFF" w:val="clear"/>
          <w:lang w:eastAsia="en-US"/>
        </w:rPr>
        <w:t>В 2017 году ожидается рост данного показателя до 21,50% в связи с ростом количества обучающихся в общеобразовательных организациях, а к 2019 году - уменьшение до 12,40% в связи с планируемым созданием 900 дополнительных мест в МБОУ СОШ № 2 и МБОУ СОШ № 3.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b/>
          <w:b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b/>
          <w:sz w:val="28"/>
          <w:szCs w:val="28"/>
          <w:lang w:eastAsia="en-US"/>
        </w:rPr>
      </w:r>
    </w:p>
    <w:p>
      <w:pPr>
        <w:pStyle w:val="Normal"/>
        <w:spacing w:lineRule="auto" w:line="240" w:before="0" w:after="0"/>
        <w:ind w:firstLine="709"/>
        <w:jc w:val="both"/>
        <w:rPr>
          <w:shd w:fill="FFFF99" w:val="clear"/>
        </w:rPr>
      </w:pPr>
      <w:r>
        <w:rPr>
          <w:rFonts w:eastAsia="Calibri" w:cs="Times New Roman" w:ascii="Times New Roman" w:hAnsi="Times New Roman"/>
          <w:b/>
          <w:sz w:val="28"/>
          <w:szCs w:val="28"/>
          <w:shd w:fill="FFFFFF" w:val="clear"/>
          <w:lang w:eastAsia="en-US"/>
        </w:rPr>
        <w:t>Показатель 18. Расходы бюджета муниципального образования на общее образование в расчете на 1 обучающегося в муниципальных общеобразовательных учреждениях.</w:t>
      </w:r>
    </w:p>
    <w:p>
      <w:pPr>
        <w:pStyle w:val="Normal"/>
        <w:spacing w:lineRule="auto" w:line="240" w:before="0" w:after="0"/>
        <w:ind w:firstLine="709"/>
        <w:jc w:val="both"/>
        <w:rPr>
          <w:shd w:fill="FFFF99" w:val="clear"/>
        </w:rPr>
      </w:pPr>
      <w:r>
        <w:rPr>
          <w:rFonts w:eastAsia="Calibri" w:cs="Times New Roman" w:ascii="Times New Roman" w:hAnsi="Times New Roman"/>
          <w:sz w:val="28"/>
          <w:szCs w:val="28"/>
          <w:shd w:fill="FFFFFF" w:val="clear"/>
          <w:lang w:eastAsia="en-US"/>
        </w:rPr>
        <w:t>Расходы бюджета муниципального образования на общее образование в расчете на одного обучающегося в 39 муниципальных общеобразовательных организациях в 2016 году увеличились по сравнению с 2015 годом на 2,18 тыс. рублей и составили 69,64 тыс. рублей.</w:t>
      </w:r>
    </w:p>
    <w:p>
      <w:pPr>
        <w:pStyle w:val="Normal"/>
        <w:spacing w:lineRule="auto" w:line="240" w:before="0" w:after="0"/>
        <w:ind w:firstLine="709"/>
        <w:jc w:val="both"/>
        <w:rPr>
          <w:shd w:fill="FFFFFF" w:val="clear"/>
        </w:rPr>
      </w:pPr>
      <w:r>
        <w:rPr>
          <w:rFonts w:eastAsia="Calibri" w:cs="Times New Roman" w:ascii="Times New Roman" w:hAnsi="Times New Roman"/>
          <w:sz w:val="28"/>
          <w:szCs w:val="28"/>
          <w:shd w:fill="FFFFFF" w:val="clear"/>
          <w:lang w:eastAsia="en-US"/>
        </w:rPr>
        <w:t xml:space="preserve"> </w:t>
      </w:r>
      <w:r>
        <w:rPr>
          <w:rFonts w:eastAsia="Calibri" w:cs="Times New Roman" w:ascii="Times New Roman" w:hAnsi="Times New Roman"/>
          <w:sz w:val="28"/>
          <w:szCs w:val="28"/>
          <w:shd w:fill="FFFFFF" w:val="clear"/>
          <w:lang w:eastAsia="en-US"/>
        </w:rPr>
        <w:t>Рост данного показателя в 2017 году до 74,28 тыс. рублей связан с дополнительным выделением целевых субсидий на перевод котельной МБОУ СОШ № 11 с твердого топлива на газ и на изготовление ПСД по реконструкции МБОУ СОШ № 11.</w:t>
      </w:r>
    </w:p>
    <w:p>
      <w:pPr>
        <w:pStyle w:val="Normal"/>
        <w:spacing w:lineRule="auto" w:line="240" w:before="0" w:after="0"/>
        <w:ind w:firstLine="709"/>
        <w:jc w:val="both"/>
        <w:rPr>
          <w:shd w:fill="FFFF99" w:val="clear"/>
        </w:rPr>
      </w:pPr>
      <w:r>
        <w:rPr>
          <w:rFonts w:eastAsia="Calibri" w:cs="Times New Roman" w:ascii="Times New Roman" w:hAnsi="Times New Roman"/>
          <w:sz w:val="28"/>
          <w:szCs w:val="28"/>
          <w:shd w:fill="FFFFFF" w:val="clear"/>
          <w:lang w:eastAsia="en-US"/>
        </w:rPr>
        <w:t xml:space="preserve">В 2018-2019 годах данный показатель планируется на уровне 2015 года.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8"/>
          <w:szCs w:val="28"/>
          <w:shd w:fill="FFFFFF" w:val="clear"/>
          <w:lang w:eastAsia="en-US"/>
        </w:rPr>
      </w:pPr>
      <w:r>
        <w:rPr>
          <w:rFonts w:eastAsia="Calibri" w:cs="Times New Roman" w:ascii="Times New Roman" w:hAnsi="Times New Roman"/>
          <w:sz w:val="28"/>
          <w:szCs w:val="28"/>
          <w:shd w:fill="FFFFFF" w:val="clear"/>
          <w:lang w:eastAsia="en-US"/>
        </w:rPr>
      </w:r>
    </w:p>
    <w:p>
      <w:pPr>
        <w:pStyle w:val="Normal"/>
        <w:spacing w:lineRule="auto" w:line="240" w:before="0" w:after="0"/>
        <w:ind w:firstLine="709"/>
        <w:jc w:val="both"/>
        <w:rPr>
          <w:shd w:fill="FFFF99" w:val="clear"/>
        </w:rPr>
      </w:pPr>
      <w:r>
        <w:rPr>
          <w:rFonts w:eastAsia="Calibri" w:cs="Times New Roman" w:ascii="Times New Roman" w:hAnsi="Times New Roman"/>
          <w:b/>
          <w:sz w:val="28"/>
          <w:szCs w:val="28"/>
          <w:shd w:fill="FFFFFF" w:val="clear"/>
          <w:lang w:eastAsia="en-US"/>
        </w:rPr>
        <w:t xml:space="preserve">Показатель 19. Доля детей в возрасте 5 - 18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группы. </w:t>
      </w:r>
    </w:p>
    <w:p>
      <w:pPr>
        <w:pStyle w:val="Normal"/>
        <w:spacing w:lineRule="auto" w:line="240" w:before="0" w:after="0"/>
        <w:ind w:firstLine="709"/>
        <w:jc w:val="both"/>
        <w:rPr>
          <w:shd w:fill="FFFFFF" w:val="clear"/>
        </w:rPr>
      </w:pPr>
      <w:bookmarkStart w:id="0" w:name="__DdeLink__12011_300864778"/>
      <w:bookmarkEnd w:id="0"/>
      <w:r>
        <w:rPr>
          <w:rFonts w:eastAsia="Calibri" w:cs="Times New Roman" w:ascii="Times New Roman" w:hAnsi="Times New Roman"/>
          <w:sz w:val="28"/>
          <w:szCs w:val="28"/>
          <w:shd w:fill="FFFFFF" w:val="clear"/>
          <w:lang w:eastAsia="en-US"/>
        </w:rPr>
        <w:t>В 2016 году доля детей в возрасте 5-18 лет, получающих услуги по дополнительному образованию в образовательных организациях дополнительного образования, уменьшилась на 0,83 процентного пункта  и составила 80,17%. Уменьшение данного показателя связано с увеличением количества детей данного возраста, а количество воспитанников, занимающихся в кружках и секциях в организациях дополнительного образования в 11 учреждениях дополнительного образования, из которых 10 муниципальных учреждений и 1 учреждение областного подчинения (ГБУ РО «СШОР № 25»), осталось прежним.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Calibri" w:cs="Times New Roman" w:ascii="Times New Roman" w:hAnsi="Times New Roman"/>
          <w:sz w:val="28"/>
          <w:szCs w:val="28"/>
          <w:shd w:fill="FFFFFF" w:val="clear"/>
          <w:lang w:eastAsia="en-US"/>
        </w:rPr>
        <w:t>К 2019 году планируется увеличение доли занимающихся до 84,00%.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  <w:shd w:fill="FFFFFF" w:val="clear"/>
        </w:rPr>
        <w:t>IV. Культура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sz w:val="28"/>
          <w:szCs w:val="28"/>
          <w:shd w:fill="FFFFFF" w:val="clear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  <w:shd w:fill="FFFFFF" w:val="clear"/>
        </w:rPr>
        <w:t>Показатель 20. Уровень фактической обеспеченности учреждениями культуры от нормативной потребности: клубами и учреждениями клубного типа, библиотеками, парками культуры и отдыха.</w:t>
      </w:r>
    </w:p>
    <w:p>
      <w:pPr>
        <w:pStyle w:val="Normal"/>
        <w:spacing w:lineRule="auto" w:line="240" w:before="0" w:after="0"/>
        <w:ind w:firstLine="709"/>
        <w:jc w:val="both"/>
        <w:rPr>
          <w:shd w:fill="FFFF99" w:val="clear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Уровень фактической обеспеченности культурно-досуговыми учреждениями от нормативной потребности в 2014-2016 годах составил 97,00%. В 2017 году планируется увеличение этого показателя до 97,50% в связи с планируемым открытием на территории г. Белая Калитва в 2017 году Центра культурного развития. </w:t>
      </w:r>
    </w:p>
    <w:p>
      <w:pPr>
        <w:pStyle w:val="Normal"/>
        <w:spacing w:lineRule="auto" w:line="240" w:before="0" w:after="0"/>
        <w:ind w:firstLine="709"/>
        <w:jc w:val="both"/>
        <w:rPr>
          <w:shd w:fill="FFFFFF" w:val="clear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Библиотеками район обеспечен в 2016 году на 125,30% от нормативной потребности. В плановом периоде ожидается повышение данного показателя до 125,60% в связи с прогнозируемой убылью населения.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shd w:fill="FFFF99" w:val="clear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Уровень фактической обеспеченности парками культуры и отдыха в Белокалитвинском районе составляет 100,00% от нормативной потребности и сохранится на планируемый период.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sz w:val="28"/>
          <w:szCs w:val="28"/>
          <w:shd w:fill="FFFFFF" w:val="clear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  <w:shd w:fill="FFFFFF" w:val="clear"/>
        </w:rPr>
        <w:t>Показатель  21. 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культуры.</w:t>
      </w:r>
    </w:p>
    <w:p>
      <w:pPr>
        <w:pStyle w:val="Normal"/>
        <w:spacing w:lineRule="auto" w:line="240" w:before="0" w:after="0"/>
        <w:ind w:firstLine="709"/>
        <w:jc w:val="both"/>
        <w:rPr>
          <w:shd w:fill="FFFF99" w:val="clear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Доля муниципальных учреждений культуры, здания которых требуют капитального ремонта, в 2015 году составила 48,03%, в 2016 году понизилась до 2,44% в связи с проведением дополнительного обследования. В 2017-2019 годах прогнозируется сохранение значения показателя на уровне 2,44%.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sz w:val="28"/>
          <w:szCs w:val="28"/>
          <w:shd w:fill="FFFFFF" w:val="clear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  <w:shd w:fill="FFFFFF" w:val="clear"/>
        </w:rPr>
        <w:t>Показатель 22. 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собственности.</w:t>
      </w:r>
    </w:p>
    <w:p>
      <w:pPr>
        <w:pStyle w:val="Normal"/>
        <w:spacing w:lineRule="auto" w:line="240" w:before="0" w:after="0"/>
        <w:ind w:firstLine="709"/>
        <w:jc w:val="both"/>
        <w:rPr>
          <w:shd w:fill="FFFFFF" w:val="clear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Доля объектов культурного наследия, находящихся в муниципальной собственности и требующих консервации или реставрации в 2015 году составила 50%. В 2016 году показатель снизился до 25% в связи с реконструкцией одного объекта культурного наследия, находящегося в муниципальной собственности Белокалитвинского района. К 2019 году прогнозируется сохранение значения показателя.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  <w:shd w:fill="FFFFFF" w:val="clear"/>
        </w:rPr>
        <w:t>V. Физическая культура и спорт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sz w:val="28"/>
          <w:szCs w:val="28"/>
          <w:shd w:fill="FFFFFF" w:val="clear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  <w:shd w:fill="FFFFFF" w:val="clear"/>
        </w:rPr>
        <w:t xml:space="preserve">Показатель 23. Доля населения, систематически занимающегося физической культурой и спортом. 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Доля населения, систематически занимающегося физической культурой и спортом, по отношению к 2015 году увеличилась на 1,57 процентных пункта и составила в 2016 году 34,87% от общего числа жителей в связи с вводом в эксплуатацию открытой плоскостной спортивной площадки в рамках социальной программы «Газпром - детям», капитальным ремонтом здания шахматного клуба, благоустройством стадиона «Калитва» в рамках программы «Доступная среда», внедрением комплекса ГТО на территории района.</w:t>
      </w:r>
    </w:p>
    <w:p>
      <w:pPr>
        <w:pStyle w:val="Normal"/>
        <w:spacing w:lineRule="auto" w:line="240" w:before="0" w:after="0"/>
        <w:ind w:firstLine="709"/>
        <w:jc w:val="both"/>
        <w:rPr>
          <w:shd w:fill="FFFFFF" w:val="clear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В прогнозируемом периоде на территории района планируется следующие мероприятия:</w:t>
      </w:r>
    </w:p>
    <w:p>
      <w:pPr>
        <w:pStyle w:val="Normal"/>
        <w:spacing w:lineRule="auto" w:line="240" w:before="0" w:after="0"/>
        <w:ind w:firstLine="709"/>
        <w:jc w:val="both"/>
        <w:rPr>
          <w:shd w:fill="FFFF99" w:val="clear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- проведение капитального ремонта здания Дворца спорта ГБУ РО «СШОР № 25»;</w:t>
      </w:r>
    </w:p>
    <w:p>
      <w:pPr>
        <w:pStyle w:val="Normal"/>
        <w:spacing w:lineRule="auto" w:line="240" w:before="0" w:after="0"/>
        <w:ind w:firstLine="709"/>
        <w:jc w:val="both"/>
        <w:rPr>
          <w:shd w:fill="FFFF99" w:val="clear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- строительство многофункционального спортивного зала на базе МБУ ДО ДЮСШ № 2;</w:t>
      </w:r>
    </w:p>
    <w:p>
      <w:pPr>
        <w:pStyle w:val="Normal"/>
        <w:spacing w:lineRule="auto" w:line="240" w:before="0" w:after="0"/>
        <w:ind w:firstLine="709"/>
        <w:jc w:val="both"/>
        <w:rPr>
          <w:shd w:fill="FFFF99" w:val="clear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- благоустройство спортивных объектов  в рамках программы «Доступная среда»;</w:t>
      </w:r>
    </w:p>
    <w:p>
      <w:pPr>
        <w:pStyle w:val="Normal"/>
        <w:spacing w:lineRule="auto" w:line="240" w:before="0" w:after="0"/>
        <w:ind w:firstLine="709"/>
        <w:jc w:val="both"/>
        <w:rPr>
          <w:shd w:fill="FFFF99" w:val="clear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- увеличение количества жителей, принимающих участие в комплексных спортивных мероприятиях, в том числе реализации комплекса ГТО.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sz w:val="28"/>
          <w:szCs w:val="28"/>
          <w:shd w:fill="FFFFFF" w:val="clear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  <w:shd w:fill="FFFFFF" w:val="clear"/>
        </w:rPr>
        <w:t>Показатель 23.1. Доля обучающихся, систематически занимающихся физической культурой и спортом, в общей численности обучающихся.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Доля обучающихся, систематически занимающихся физической культурой и спортом, в общей численности обучающихся в 2015 году составила 78,12%, в 2016 году - 77,95%.</w:t>
      </w:r>
      <w:r>
        <w:rPr>
          <w:rFonts w:cs="Times New Roman" w:ascii="Times New Roman" w:hAnsi="Times New Roman"/>
          <w:bCs/>
          <w:sz w:val="28"/>
          <w:szCs w:val="28"/>
          <w:shd w:fill="FFFFFF" w:val="clear"/>
        </w:rPr>
        <w:t xml:space="preserve"> Снижение данного показателя на 0,17 процентного пункта по сравнению с 2015 годом связано с уменьшением количества обучающихся. К 2019 году планируется доведение значения данного показателя до 78,40% в связи с улучшением спортивной инфраструктуры образовательных организаций и реализацией 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>мероприятий по внедрению Всероссийского спортивного комплекса «Готов к труду и обороне».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sz w:val="16"/>
          <w:szCs w:val="16"/>
        </w:rPr>
      </w:pPr>
      <w:r>
        <w:rPr>
          <w:rFonts w:cs="Times New Roman" w:ascii="Times New Roman" w:hAnsi="Times New Roman"/>
          <w:b/>
          <w:sz w:val="28"/>
          <w:szCs w:val="28"/>
          <w:shd w:fill="FFFFFF" w:val="clear"/>
        </w:rPr>
        <w:t>VI. Жилищное строительство и обеспечение граждан жильем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sz w:val="16"/>
          <w:szCs w:val="16"/>
          <w:shd w:fill="FFFFFF" w:val="clear"/>
        </w:rPr>
      </w:pPr>
      <w:r>
        <w:rPr>
          <w:rFonts w:cs="Times New Roman" w:ascii="Times New Roman" w:hAnsi="Times New Roman"/>
          <w:b/>
          <w:sz w:val="16"/>
          <w:szCs w:val="16"/>
          <w:shd w:fill="FFFFFF" w:val="clear"/>
        </w:rPr>
      </w:r>
    </w:p>
    <w:p>
      <w:pPr>
        <w:pStyle w:val="Normal"/>
        <w:spacing w:lineRule="auto" w:line="240" w:before="0" w:after="0"/>
        <w:ind w:firstLine="709"/>
        <w:jc w:val="both"/>
        <w:rPr>
          <w:shd w:fill="FFFFFF" w:val="clear"/>
        </w:rPr>
      </w:pPr>
      <w:r>
        <w:rPr>
          <w:rFonts w:cs="Times New Roman" w:ascii="Times New Roman" w:hAnsi="Times New Roman"/>
          <w:b/>
          <w:sz w:val="28"/>
          <w:szCs w:val="28"/>
          <w:shd w:fill="FFFFFF" w:val="clear"/>
        </w:rPr>
        <w:t>Показатель 24.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  <w:shd w:fill="FFFFFF" w:val="clear"/>
        </w:rPr>
        <w:t>Общая площадь жилых помещений, приходящаяся в среднем на одного жителя, в том числе введенная в действие за один год.</w:t>
      </w:r>
    </w:p>
    <w:p>
      <w:pPr>
        <w:pStyle w:val="Normal"/>
        <w:spacing w:lineRule="auto" w:line="240" w:before="0" w:after="0"/>
        <w:ind w:firstLine="709"/>
        <w:jc w:val="both"/>
        <w:rPr>
          <w:shd w:fill="FFFFFF" w:val="clear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Фактическая общая площадь жилых помещений на 2016 год составила 24,62 кв. метров на одного жителя (в том числе введенная в действие за один год - 0,20 кв. метров), что на 0,52 кв. метров меньше к уровню 2015 года. </w:t>
      </w:r>
      <w:bookmarkStart w:id="1" w:name="_Hlk480556491"/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Уменьшение показателей к уровню 2015 года обусловлено сложившейся экономической ситуацией и окончанием в 2017 году областной адресной программы «Переселения граждан из аварийного жилищного фонда, в том числе с учетом необходимости развития малоэтажного жилищного строительства в 2013-2017 годах» и муниципальной программы Белокалитвинского района «Обеспечение доступным и комфортабельным жильем населения Белокалитвинского района»</w:t>
      </w:r>
      <w:bookmarkEnd w:id="1"/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.</w:t>
      </w:r>
    </w:p>
    <w:p>
      <w:pPr>
        <w:pStyle w:val="Normal"/>
        <w:spacing w:lineRule="auto" w:line="240" w:before="0" w:after="0"/>
        <w:ind w:firstLine="709"/>
        <w:jc w:val="both"/>
        <w:rPr>
          <w:shd w:fill="FFFFFF" w:val="clear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В 2017 году планируется увеличение показателя до 24,83 кв. метров на одного жителя. В 2018-2019 годах прогнозируется увеличение данного показателя до 25,18 и 25,55 кв. метров соответственно в связи с увеличением темпов строительства и предполагаемым строительством многоквартирных жилых домов.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fill="FFFF99" w:val="clear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Значение показателя общей площади жилых помещений, приходящейся в среднем на одного жителя, введенной в действие за один год в 2017-2019 годах незначительно увеличится и составит 0,20 - 0,21 кв. метров, что связано с увеличением сдачи в эксплуатацию объектов индивидуального жилищного строительства.</w:t>
      </w:r>
    </w:p>
    <w:p>
      <w:pPr>
        <w:pStyle w:val="Normal"/>
        <w:spacing w:lineRule="auto" w:line="240" w:before="0" w:after="0"/>
        <w:ind w:firstLine="709"/>
        <w:jc w:val="both"/>
        <w:rPr>
          <w:shd w:fill="FFFFFF" w:val="clear"/>
        </w:rPr>
      </w:pPr>
      <w:r>
        <w:rPr>
          <w:shd w:fill="FFFFFF" w:val="clear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  <w:shd w:fill="FFFFFF" w:val="clear"/>
        </w:rPr>
        <w:t>Показатель 25.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  <w:shd w:fill="FFFFFF" w:val="clear"/>
        </w:rPr>
        <w:t>Площадь земельных участков, предоставленных для строительства в расчете на 10 тыс. человек населения,</w:t>
      </w:r>
      <w:r>
        <w:rPr>
          <w:shd w:fill="FFFFFF" w:val="clear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  <w:shd w:fill="FFFFFF" w:val="clear"/>
        </w:rPr>
        <w:t>в том числе 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строительства.</w:t>
      </w:r>
    </w:p>
    <w:p>
      <w:pPr>
        <w:pStyle w:val="Normal"/>
        <w:spacing w:lineRule="auto" w:line="240" w:before="0" w:after="0"/>
        <w:ind w:firstLine="709"/>
        <w:jc w:val="both"/>
        <w:rPr/>
      </w:pPr>
      <w:bookmarkStart w:id="2" w:name="_Hlk480556651"/>
      <w:bookmarkStart w:id="3" w:name="_GoBack"/>
      <w:bookmarkEnd w:id="2"/>
      <w:bookmarkEnd w:id="3"/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Фактическая площадь земельных участков, предоставленных для строительства, на 2016 год составила 2,6 га, в том числе для жилищного строительства 1,44 га. Увеличение показателя к уровню 2015 года достигнуто за счет строительства многоквартирных жилых домов и увеличения числа бесплатно предоставленных земельных участков гражданам, имеющим 3-х и более детей.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В 2017-2019 годах прогнозируется увеличение показателя предоставления земельных участков за счет реализации проекта планировки и межевания территории малоэтажной жилой застройки квартала № 4 в г. Белая Калитва и бесплатного предоставления земельных участков гражданам, имеющим 3-х и более детей.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sz w:val="28"/>
          <w:szCs w:val="28"/>
          <w:shd w:fill="FFFFFF" w:val="clear"/>
        </w:rPr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b/>
          <w:sz w:val="28"/>
          <w:szCs w:val="28"/>
          <w:shd w:fill="FFFFFF" w:val="clear"/>
        </w:rPr>
        <w:t>Показатель 26. Площадь земельных участков, предоставленных для строительства, в отношении которых с даты принятия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эксплуатацию: объектов жилищного строительства - в течение 3 лет, иных объектов капитального строительства - в течение 5 лет.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В 2015–2016 годах значение показателя «площадь земельных участков, предоставленных для строительства, в отношении которых с даты принятия решения о предоставлении земельного участка не было получено разрешение на ввод в эксплуатацию по объектам жилищного строительства в течение 3 лет» равно «нулю» в связи с тем, что в отчетном периоде сокращены сроки строительства и ввода объектов жилищного строительства в эксплуатацию, т.е. сроки освоения земельных участков не превышают 3 лет.</w:t>
      </w:r>
    </w:p>
    <w:p>
      <w:pPr>
        <w:pStyle w:val="Normal"/>
        <w:spacing w:lineRule="auto" w:line="240" w:before="0" w:after="0"/>
        <w:ind w:firstLine="709"/>
        <w:jc w:val="both"/>
        <w:rPr>
          <w:shd w:fill="FFFFFF" w:val="clear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В прогнозируемом периоде ситуация сохранится за счет исполнения программы строительства и своевременного ввода объектов в эксплуатацию.</w:t>
      </w:r>
    </w:p>
    <w:p>
      <w:pPr>
        <w:pStyle w:val="Normal"/>
        <w:spacing w:lineRule="auto" w:line="240" w:before="0" w:after="0"/>
        <w:ind w:firstLine="709"/>
        <w:jc w:val="both"/>
        <w:rPr>
          <w:shd w:fill="FFFFFF" w:val="clear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В 2015–2016 годах, значение показателя «площадь земельных участков, предоставленных для строительства, в отношении которых с даты принятия решения о предоставлении земельного участка не было получено разрешение на ввод в эксплуатацию иных объектов капитального строительства в течение 5 лет» равно «нулю» в связи с обеспечением нормативных сроков строительства объектов и сокращением объемов незавершенного строительства.</w:t>
      </w:r>
    </w:p>
    <w:p>
      <w:pPr>
        <w:pStyle w:val="Normal"/>
        <w:spacing w:lineRule="auto" w:line="240" w:before="0" w:after="0"/>
        <w:ind w:firstLine="709"/>
        <w:jc w:val="both"/>
        <w:rPr>
          <w:shd w:fill="FFFFFF" w:val="clear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На прогнозируемый период 2017-2019 годов ситуация сохранится.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sz w:val="28"/>
          <w:szCs w:val="28"/>
          <w:shd w:fill="FFFFFF" w:val="clear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  <w:shd w:fill="FFFFFF" w:val="clear"/>
        </w:rPr>
        <w:t>VII. Жилищно-коммунальное хозяйство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sz w:val="28"/>
          <w:szCs w:val="28"/>
          <w:shd w:fill="FFFFFF" w:val="clear"/>
        </w:rPr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b/>
          <w:sz w:val="28"/>
          <w:szCs w:val="28"/>
          <w:shd w:fill="FFFFFF" w:val="clear"/>
        </w:rPr>
        <w:t>Показатель 27. 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способ управления данными домами.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hd w:fill="FFFFFF" w:val="clear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Доля многоквартирных домов, в которых собственники помещений выбрали и реализуют способ управления многоквартирными домами, в 2016 году составила  98,03%.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Данный показатель снизился по сравнению с 2015 годом в связи с тем, что в Белокалитвинском, Шолоховском, Коксовском и Синегорском поселениях проведены открытые конкурсы по выбору управляющей организации, то есть собственники жилых помещений  выбрали способ управления не самостоятельно.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hd w:fill="FFFFFF" w:val="clear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В прогнозируемом периоде 2017-2019 годов показатель не будет снижаться, </w:t>
      </w:r>
      <w:r>
        <w:rPr>
          <w:rFonts w:cs="Times New Roman" w:ascii="Times New Roman" w:hAnsi="Times New Roman"/>
          <w:color w:val="00000A"/>
          <w:sz w:val="28"/>
          <w:szCs w:val="28"/>
          <w:shd w:fill="FFFFFF" w:val="clear"/>
        </w:rPr>
        <w:t xml:space="preserve">за счет проведения активной разъяснительной работы с собственниками жилья.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color w:val="FF0000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  <w:shd w:fill="FFFFFF" w:val="clear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  <w:shd w:fill="FFFFFF" w:val="clear"/>
        </w:rPr>
        <w:t>Показатель 28. Доля организаций коммунального комплекса, осуществляющих производство товаров, оказание услуг по водо-, тепло-, газо-,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городского округа (муниципального района) в уставном капитале которых составляет не более 25 , в общем числе организаций коммунального комплекса, осуществляющих свою деятельность на территории городского округа (муниципального района).</w:t>
      </w:r>
    </w:p>
    <w:p>
      <w:pPr>
        <w:pStyle w:val="Normal"/>
        <w:spacing w:lineRule="auto" w:line="240" w:before="0" w:after="0"/>
        <w:ind w:firstLine="709"/>
        <w:jc w:val="both"/>
        <w:rPr>
          <w:shd w:fill="FFFFFF" w:val="clear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В отчетном 2016 году данный показатель не изменился и составил 84,60%. В плановом периоде 2017-2019 годов указанный показатель к увеличению не планируется.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bCs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bCs/>
          <w:sz w:val="28"/>
          <w:szCs w:val="28"/>
          <w:shd w:fill="FFFFFF" w:val="clear"/>
        </w:rPr>
      </w:r>
    </w:p>
    <w:p>
      <w:pPr>
        <w:pStyle w:val="Normal"/>
        <w:spacing w:lineRule="auto" w:line="240" w:before="0" w:after="0"/>
        <w:ind w:firstLine="709"/>
        <w:jc w:val="both"/>
        <w:rPr>
          <w:shd w:fill="FFFFFF" w:val="clear"/>
        </w:rPr>
      </w:pPr>
      <w:r>
        <w:rPr>
          <w:rFonts w:cs="Times New Roman" w:ascii="Times New Roman" w:hAnsi="Times New Roman"/>
          <w:b/>
          <w:bCs/>
          <w:sz w:val="28"/>
          <w:szCs w:val="28"/>
          <w:shd w:fill="FFFFFF" w:val="clear"/>
        </w:rPr>
        <w:t>Показатель 29. Доля многоквартирных домов, расположенных на земельных участках, в отношении которых осуществлен государственный кадастровый учет.</w:t>
      </w:r>
    </w:p>
    <w:p>
      <w:pPr>
        <w:pStyle w:val="Normal"/>
        <w:spacing w:lineRule="auto" w:line="240" w:before="0" w:after="0"/>
        <w:ind w:firstLine="709"/>
        <w:jc w:val="both"/>
        <w:rPr>
          <w:shd w:fill="FFFFFF" w:val="clear"/>
        </w:rPr>
      </w:pPr>
      <w:r>
        <w:rPr>
          <w:rFonts w:cs="Times New Roman" w:ascii="Times New Roman" w:hAnsi="Times New Roman"/>
          <w:bCs/>
          <w:sz w:val="28"/>
          <w:szCs w:val="28"/>
          <w:shd w:fill="FFFFFF" w:val="clear"/>
        </w:rPr>
        <w:t>В отчетном периоде доля многоквартирных домов, расположенных на земельных участках, в отношении которых осуществлен государственный кадастровый учет, равен показателю 2015 года и составляет в 2016 году 73,00%.</w:t>
      </w:r>
    </w:p>
    <w:p>
      <w:pPr>
        <w:pStyle w:val="Normal"/>
        <w:spacing w:lineRule="auto" w:line="240" w:before="0" w:after="0"/>
        <w:ind w:firstLine="709"/>
        <w:jc w:val="both"/>
        <w:rPr>
          <w:shd w:fill="FFFF99" w:val="clear"/>
        </w:rPr>
      </w:pPr>
      <w:r>
        <w:rPr>
          <w:rFonts w:cs="Times New Roman" w:ascii="Times New Roman" w:hAnsi="Times New Roman"/>
          <w:bCs/>
          <w:sz w:val="28"/>
          <w:szCs w:val="28"/>
          <w:shd w:fill="FFFFFF" w:val="clear"/>
        </w:rPr>
        <w:t>В 2017-2019 годах планируется увеличение значения показателя на 1 процентный пункт и доведение в 2017 году до 74,00%, в 2018 году – до 75,00%, в 2019 году до 76,00% в результате проведенной работы по постановке на кадастровый учет земельных участков под многоквартирными жилыми домами.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bCs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bCs/>
          <w:sz w:val="28"/>
          <w:szCs w:val="28"/>
          <w:shd w:fill="FFFFFF" w:val="clear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  <w:shd w:fill="FFFFFF" w:val="clear"/>
        </w:rPr>
        <w:t>Показатель 30. 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помещениях.</w:t>
      </w:r>
    </w:p>
    <w:p>
      <w:pPr>
        <w:pStyle w:val="Normal"/>
        <w:spacing w:lineRule="auto" w:line="240" w:before="0" w:after="0"/>
        <w:ind w:firstLine="709"/>
        <w:jc w:val="both"/>
        <w:rPr>
          <w:shd w:fill="FFFFFF" w:val="clear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Доля населения, получившего жилые помещения и улучшившего жилищные условия, в 2015 году составила 9,75%, в 2016 году – 11,60%. Увеличение показателя в отчетном году обусловлено выделением дополнительных средств на реализацию мероприятий по переселению граждан из аварийного жилищного фонда за счет областных средств на дома, грозящие обрушением.</w:t>
      </w:r>
    </w:p>
    <w:p>
      <w:pPr>
        <w:pStyle w:val="Normal"/>
        <w:spacing w:lineRule="auto" w:line="240" w:before="0" w:after="0"/>
        <w:ind w:firstLine="709"/>
        <w:jc w:val="both"/>
        <w:rPr>
          <w:shd w:fill="FFFFFF" w:val="clear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В прогнозируемых периодах 2017-2019 годов этот показатель планируется на уровне 12,63%, 10,23% и 9,73% соответственно, что обусловлено завершением реализации в указанный период региональных программ по обеспечению жильем ветеранов ВОВ в полном объеме, а также уменьшением количества детей-сирот, достигших 18 летнего возраста.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Прогнозные показатели даны с учетом возможной реализации на территории района программы переселения граждан из аварийного жилищного фонда, признанного таковым после 01.01.2012.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sz w:val="28"/>
          <w:szCs w:val="28"/>
          <w:shd w:fill="FFFFFF" w:val="clear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  <w:shd w:fill="FFFFFF" w:val="clear"/>
        </w:rPr>
        <w:t>VIII. Организация муниципального управления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bCs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bCs/>
          <w:sz w:val="28"/>
          <w:szCs w:val="28"/>
          <w:shd w:fill="FFFFFF" w:val="clear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  <w:shd w:fill="FFFFFF" w:val="clear"/>
        </w:rPr>
        <w:t>Показатель 31. 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Доля налоговых и неналоговых доходов бюджета Белокалитвинского района в общем объеме собственных доходов бюджета района в 2016 году составила 19,96%.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Налоговые и неналоговые доходы без учета поступлений налога на доходы физических лиц по дополнительному нормативу увеличились в 2016 году на 11,00%, а безвозмездные поступления уменьшились на 17,40% к уровню предыдущего года.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В 2017 году доля собственных доходов в общем объеме доходов прогнозируется в размере 16,41%. Снижение по сравнению с 2016 годом связано с увеличением безвозмездных поступлений на 29,80%.</w:t>
      </w:r>
    </w:p>
    <w:p>
      <w:pPr>
        <w:pStyle w:val="Normal"/>
        <w:spacing w:lineRule="auto" w:line="240" w:before="0" w:after="0"/>
        <w:ind w:firstLine="709"/>
        <w:jc w:val="both"/>
        <w:rPr>
          <w:shd w:fill="FFFFFF" w:val="clear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В 2018 году удельный вес собственных доходов в общих доходах бюджета района прогнозируется в размере 26,02%, что связано  с уменьшением безвозмездных поступлений на 54,50%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В 2019 году удельный вес собственных доходов в общих доходах бюджета района прогнозируется в размере 28,22%, что связано с более высоким темпом роста собственных доходов (+7,60%).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  <w:shd w:fill="FFFFFF" w:val="clear"/>
        </w:rPr>
        <w:t>Показатель 32. 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(на конец года по полной учетной стоимости).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Организаций муниципальной формы собственности, находящихся в стадии банкротства, в Белокалитвинском районе нет.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bCs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bCs/>
          <w:sz w:val="28"/>
          <w:szCs w:val="28"/>
          <w:shd w:fill="FFFFFF" w:val="clear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  <w:shd w:fill="FFFFFF" w:val="clear"/>
        </w:rPr>
        <w:t>Показатель 33. Объем не завершенного в установленные сроки строительства, осуществляемого за счет средств бюджета городского округа (муниципального района).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Объем не завершенного в установленные сроки строительства, осуществляемого за счет средств бюджета Белокалитвинского района в 2016 году составил 1790,47 тыс. рублей и сложился по объекту: «Подъезд от а/д ММ 61- 89  «Подъезд от а/д «г.Белая Калитва (от а/д г.Белая Калитва - х.Апанасовка - п.Тацинский) к х.Нижнепопов, к х.Дороговский».</w:t>
      </w:r>
    </w:p>
    <w:p>
      <w:pPr>
        <w:pStyle w:val="Normal"/>
        <w:spacing w:lineRule="auto" w:line="240" w:before="0" w:after="0"/>
        <w:ind w:firstLine="709"/>
        <w:jc w:val="both"/>
        <w:rPr>
          <w:shd w:fill="FFFFFF" w:val="clear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В 2017 - 2019 годах объемы незавершенного строительства не планируются.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bCs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bCs/>
          <w:sz w:val="28"/>
          <w:szCs w:val="28"/>
          <w:shd w:fill="FFFFFF" w:val="clear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  <w:shd w:fill="FFFFFF" w:val="clear"/>
        </w:rPr>
        <w:t>Показатель 34. Доля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  <w:shd w:fill="FFFFFF" w:val="clear"/>
        </w:rPr>
        <w:t>Просроченная к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>редиторская задолженность по оплате труда (включая начисления на оплату труда) муниципальных бюджетных учреждений Белокалитвинского района отсутствует. В прогнозируемом периоде данная тенденция сохранится.</w:t>
      </w:r>
      <w:r>
        <w:rPr>
          <w:rFonts w:cs="Times New Roman" w:ascii="Times New Roman" w:hAnsi="Times New Roman"/>
          <w:b/>
          <w:sz w:val="28"/>
          <w:szCs w:val="28"/>
          <w:shd w:fill="FFFFFF" w:val="clear"/>
        </w:rPr>
        <w:tab/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bCs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bCs/>
          <w:sz w:val="28"/>
          <w:szCs w:val="28"/>
          <w:shd w:fill="FFFFFF" w:val="clear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  <w:shd w:fill="FFFFFF" w:val="clear"/>
        </w:rPr>
        <w:t>Показатель 35. 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Расходы бюджета муниципального образования на содержание работников органов местного самоуправления в расчете на одного жителя</w:t>
      </w:r>
      <w:r>
        <w:rPr>
          <w:rFonts w:cs="Times New Roman" w:ascii="Times New Roman" w:hAnsi="Times New Roman"/>
          <w:b/>
          <w:bCs/>
          <w:sz w:val="28"/>
          <w:szCs w:val="28"/>
          <w:shd w:fill="FFFFFF" w:val="clear"/>
        </w:rPr>
        <w:t xml:space="preserve"> 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Белокалитвинского района составили </w:t>
      </w:r>
      <w:r>
        <w:rPr>
          <w:rFonts w:cs="Times New Roman" w:ascii="Times New Roman" w:hAnsi="Times New Roman"/>
          <w:bCs/>
          <w:sz w:val="28"/>
          <w:szCs w:val="28"/>
          <w:shd w:fill="FFFFFF" w:val="clear"/>
        </w:rPr>
        <w:t>в 2016 году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 736,48 рублей и по отношению к 2015 году уменьшились</w:t>
      </w:r>
      <w:bookmarkStart w:id="4" w:name="_Hlk480555054"/>
      <w:bookmarkEnd w:id="4"/>
      <w:r>
        <w:rPr>
          <w:rFonts w:cs="Times New Roman" w:ascii="Times New Roman" w:hAnsi="Times New Roman"/>
          <w:bCs/>
          <w:sz w:val="28"/>
          <w:szCs w:val="28"/>
          <w:shd w:fill="FFFFFF" w:val="clear"/>
        </w:rPr>
        <w:t xml:space="preserve"> на 0,09%. Уменьшение объема расходов на содержание органов местного самоуправления в 2016 году связано с сокращением штатной численности с целью приведения в соответствие с нормативом Правительства Ростовской области, устанавливающим штатную численность выборных должностных лиц органов местного самоуправления, осуществляющих свои полномочия на постоянной основе, и муниципальных служащих в органах местного самоуправления.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bCs/>
          <w:sz w:val="28"/>
          <w:szCs w:val="28"/>
          <w:shd w:fill="FFFFFF" w:val="clear"/>
        </w:rPr>
        <w:t>В прогнозируемом периоде планируется рост показателя: в 2017 году – на 5,46%, в 2018 году – на 1,31%, а в 2019 году – на уровне 2018 года.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 Увеличение расходов в 2017 году связано с истечением срока полномочий главы Белокалитвинского района и выплатой компенсаций при увольнении высшей и главной групп должностей муниципальной службы в аппарате Администрации Белокалитвинского района, структурных подразделениях и отраслевых (функциональных) органах Администрации Белокалитвинского района, а также в 2018-2019 годах в связи с сокращением среднегодовой численности населения Белокалитвинского района.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sz w:val="28"/>
          <w:szCs w:val="28"/>
          <w:shd w:fill="FFFFFF" w:val="clear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  <w:shd w:fill="FFFFFF" w:val="clear"/>
        </w:rPr>
        <w:t>Показатель 36. Наличие в городском округе (муниципальном районе) утвержденного генерального плана городского округа (схемы территориального планирования муниципального района).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Схема территориального планирования муниципального района утверждена решением Собрания депутатов Белокалитвинского района от 14.12.2011 № 107 «Об утверждении схемы территориального планирования Белокалитвинского района».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color w:val="000000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  <w:shd w:fill="FFFFFF" w:val="clear"/>
        </w:rPr>
      </w:r>
    </w:p>
    <w:p>
      <w:pPr>
        <w:pStyle w:val="Normal"/>
        <w:spacing w:lineRule="auto" w:line="240" w:before="0" w:after="0"/>
        <w:ind w:firstLine="709"/>
        <w:jc w:val="both"/>
        <w:rPr>
          <w:shd w:fill="FFFFFF" w:val="clear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  <w:shd w:fill="FFFFFF" w:val="clear"/>
        </w:rPr>
        <w:t>Показатель 37. Удовлетворенность населения деятельностью органов местного самоуправления городского округа (муниципального района), в том  числе их информационной открытостью.</w:t>
      </w:r>
    </w:p>
    <w:p>
      <w:pPr>
        <w:pStyle w:val="Normal"/>
        <w:spacing w:lineRule="auto" w:line="240" w:before="0" w:after="0"/>
        <w:ind w:firstLine="709"/>
        <w:jc w:val="both"/>
        <w:rPr>
          <w:shd w:fill="FFFFFF" w:val="clear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По итогам 2016 года 66,60% населения Белокалитвинского района от опрошенных удовлетворены деятельностью органов местного самоуправления района. По сравнению с 2015 годом показатель вырос на 8,6 процентных пунктов.</w:t>
      </w:r>
    </w:p>
    <w:p>
      <w:pPr>
        <w:pStyle w:val="Normal"/>
        <w:spacing w:lineRule="auto" w:line="240" w:before="0" w:after="0"/>
        <w:ind w:firstLine="709"/>
        <w:jc w:val="both"/>
        <w:rPr>
          <w:shd w:fill="FFFFFF" w:val="clear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С целью расширения форм информирования населения района о деятельности органов местного самоуправления и решения вопросов по личным заявлениям граждан проводились следующие мероприятия:</w:t>
      </w:r>
    </w:p>
    <w:p>
      <w:pPr>
        <w:pStyle w:val="Normal"/>
        <w:spacing w:lineRule="auto" w:line="240" w:before="0" w:after="0"/>
        <w:ind w:firstLine="709"/>
        <w:jc w:val="both"/>
        <w:rPr>
          <w:shd w:fill="FFFFFF" w:val="clear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  <w:shd w:fill="FFFFFF" w:val="clear"/>
        </w:rPr>
        <w:t>- личные приемы граждан главой Администрации района (не реже 1 раза в месяц и по мере необходимости) и заместителями главы администрации района. В отчетном периоде поступило 980 обращений. Среди общего количества обращений 668</w:t>
      </w:r>
      <w:r>
        <w:rPr>
          <w:rFonts w:cs="Times New Roman" w:ascii="Times New Roman" w:hAnsi="Times New Roman"/>
          <w:bCs/>
          <w:color w:val="000000" w:themeColor="text1"/>
          <w:sz w:val="28"/>
          <w:szCs w:val="28"/>
          <w:shd w:fill="FFFFFF" w:val="clear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8"/>
          <w:szCs w:val="28"/>
          <w:shd w:fill="FFFFFF" w:val="clear"/>
        </w:rPr>
        <w:t xml:space="preserve">- </w:t>
      </w:r>
      <w:r>
        <w:rPr>
          <w:rFonts w:cs="Times New Roman" w:ascii="Times New Roman" w:hAnsi="Times New Roman"/>
          <w:bCs/>
          <w:color w:val="000000" w:themeColor="text1"/>
          <w:sz w:val="28"/>
          <w:szCs w:val="28"/>
          <w:shd w:fill="FFFFFF" w:val="clear"/>
        </w:rPr>
        <w:t>письменных, 312 - у</w:t>
      </w:r>
      <w:r>
        <w:rPr>
          <w:rFonts w:cs="Times New Roman" w:ascii="Times New Roman" w:hAnsi="Times New Roman"/>
          <w:color w:val="000000" w:themeColor="text1"/>
          <w:sz w:val="28"/>
          <w:szCs w:val="28"/>
          <w:shd w:fill="FFFFFF" w:val="clear"/>
        </w:rPr>
        <w:t>стных (в ходе проведения личных приемов). Анализ тематики обращений, поступивших в администрацию района, показывает, что основную часть (46%) составляют вопросы</w:t>
      </w:r>
      <w:r>
        <w:rPr>
          <w:rFonts w:cs="Times New Roman" w:ascii="Times New Roman" w:hAnsi="Times New Roman"/>
          <w:b/>
          <w:color w:val="000000" w:themeColor="text1"/>
          <w:sz w:val="28"/>
          <w:szCs w:val="28"/>
          <w:shd w:fill="FFFFFF" w:val="clear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8"/>
          <w:szCs w:val="28"/>
          <w:shd w:fill="FFFFFF" w:val="clear"/>
        </w:rPr>
        <w:t>жилищно - коммунального хозяйства;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shd w:fill="FFFFFF" w:val="clear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- встречи с жителями поселений, входящих в состав Белокалитвинского района, информационных групп под руководством главы Администрации района организованы не реже 3 раз в год. За 2016 год проведено 36 встреч информационных групп с жителями района. В них приняли участие 3613 человек. Во время проведения встреч на все вопросы были даны подробные разъяснения, установлены сроки их решения, даны соответствующие поручения, 38 человек записались на личный прием к главе Администрации района и заместителям главы Администрации района;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shd w:fill="FFFFFF" w:val="clear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- отчеты главы Администрации района и глав поселений/администраций поселений перед населением, публикация отчетов в общественно-политической газете «Перекресток», размещение на официальном сайте администрации района, освещение на </w:t>
      </w:r>
      <w:r>
        <w:rPr>
          <w:rFonts w:ascii="Times New Roman" w:hAnsi="Times New Roman"/>
          <w:sz w:val="28"/>
          <w:szCs w:val="28"/>
          <w:shd w:fill="FFFFFF" w:val="clear"/>
        </w:rPr>
        <w:t>телеканале «Белокалитвинская панорама»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 и на «Авторадио»;</w:t>
      </w:r>
    </w:p>
    <w:p>
      <w:pPr>
        <w:pStyle w:val="Normal"/>
        <w:spacing w:lineRule="auto" w:line="240" w:before="0" w:after="0"/>
        <w:ind w:firstLine="709"/>
        <w:jc w:val="both"/>
        <w:rPr>
          <w:shd w:fill="FFFFFF" w:val="clear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- встречи главы Администрации района (2 раза в год) с руководителями и представителями политических партий, общественных организаций, религиозных национальных объединений по вопросам социально-экономического развития района, профилактике терроризма и экстремизма и другим актуальным вопросам;</w:t>
      </w:r>
    </w:p>
    <w:p>
      <w:pPr>
        <w:pStyle w:val="Normal"/>
        <w:spacing w:lineRule="auto" w:line="240" w:before="0" w:after="0"/>
        <w:ind w:firstLine="709"/>
        <w:jc w:val="both"/>
        <w:rPr>
          <w:shd w:fill="FFFFFF" w:val="clear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- на официальном сайте администрации Белокалитвинского района создана интернет-приемная для обеспечения дополнительной возможности обращения граждан в администрацию района</w:t>
      </w:r>
      <w:r>
        <w:rPr>
          <w:rFonts w:cs="Times New Roman" w:ascii="Times New Roman" w:hAnsi="Times New Roman"/>
          <w:color w:val="000000" w:themeColor="text1"/>
          <w:sz w:val="28"/>
          <w:szCs w:val="28"/>
          <w:shd w:fill="FFFFFF" w:val="clear"/>
        </w:rPr>
        <w:t>. За 2016 год в электронном виде принято 37 обращений граждан.</w:t>
      </w:r>
    </w:p>
    <w:p>
      <w:pPr>
        <w:pStyle w:val="Normal"/>
        <w:spacing w:lineRule="auto" w:line="240" w:before="0" w:after="0"/>
        <w:ind w:firstLine="709"/>
        <w:jc w:val="both"/>
        <w:rPr>
          <w:shd w:fill="FFFFFF" w:val="clear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Администрация района нацелена на дальнейшую эффективную работу в прогнозируемом периоде, и в связи с этим, 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>предполагается увеличить процент по данному показателю до 67,30% к 2019 году.</w:t>
        <w:tab/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ab/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sz w:val="28"/>
          <w:szCs w:val="28"/>
          <w:shd w:fill="FFFFFF" w:val="clear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  <w:shd w:fill="FFFFFF" w:val="clear"/>
        </w:rPr>
        <w:t xml:space="preserve">Показатель 38. Среднегодовая численность постоянного населения. </w:t>
      </w:r>
    </w:p>
    <w:p>
      <w:pPr>
        <w:pStyle w:val="Normal"/>
        <w:spacing w:lineRule="auto" w:line="240" w:before="0" w:after="0"/>
        <w:ind w:firstLine="709"/>
        <w:jc w:val="both"/>
        <w:rPr>
          <w:shd w:fill="FFFFFF" w:val="clear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Среднегодовая численность населения Белокалитвинского района в 2016 году по оценочным данным снизилась на 1,3 тыс.человек и составила 93,80 тыс. человек, ожидается в 2017 году - 92,50 тыс.человек, в 2018-2019 годах - 91,20 и 89,90 тыс. человек соответственно.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Данный темп снижения численности отражает тенденции естественной убыли и миграции населения.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sz w:val="28"/>
          <w:szCs w:val="28"/>
          <w:shd w:fill="FFFFFF" w:val="clear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  <w:shd w:fill="FFFFFF" w:val="clear"/>
        </w:rPr>
        <w:t>IX. Энергосбережение и повышение энергетической эффективности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sz w:val="28"/>
          <w:szCs w:val="28"/>
          <w:shd w:fill="FFFFFF" w:val="clear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  <w:shd w:fill="FFFFFF" w:val="clear"/>
        </w:rPr>
        <w:t xml:space="preserve">Показатель 39. Удельная величина потребления энергетических ресурсов в многоквартирных домах. </w:t>
      </w:r>
    </w:p>
    <w:p>
      <w:pPr>
        <w:pStyle w:val="Normal"/>
        <w:spacing w:lineRule="auto" w:line="240" w:before="0" w:after="0"/>
        <w:ind w:firstLine="709"/>
        <w:jc w:val="both"/>
        <w:rPr>
          <w:shd w:fill="FFFF99" w:val="clear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Показатель удельной величины потребления электроэнергии в многоквартирных домах  в 2016 году не изменился и составляет 636,80 кВт/ч на одного проживающего. </w:t>
      </w:r>
    </w:p>
    <w:p>
      <w:pPr>
        <w:pStyle w:val="Normal"/>
        <w:spacing w:lineRule="auto" w:line="240" w:before="0" w:after="0"/>
        <w:ind w:firstLine="709"/>
        <w:jc w:val="both"/>
        <w:rPr>
          <w:shd w:fill="FFFF99" w:val="clear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В планируемые 2017-2019 годы показатель удельной величины потребления электроэнергии в многоквартирных домах не планируется к увеличению в связи с применением энергосберегающих технологий.</w:t>
      </w:r>
    </w:p>
    <w:p>
      <w:pPr>
        <w:pStyle w:val="Normal"/>
        <w:spacing w:lineRule="auto" w:line="240" w:before="0" w:after="0"/>
        <w:ind w:firstLine="709"/>
        <w:jc w:val="both"/>
        <w:rPr>
          <w:shd w:fill="FFFF99" w:val="clear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Показатель удельной величины потребления тепловой энергии в многоквартирных домах не изменился и составляет 0,15 Гкал на 1 кв.метр. </w:t>
      </w:r>
    </w:p>
    <w:p>
      <w:pPr>
        <w:pStyle w:val="Normal"/>
        <w:spacing w:lineRule="auto" w:line="240" w:before="0" w:after="0"/>
        <w:ind w:firstLine="709"/>
        <w:jc w:val="both"/>
        <w:rPr>
          <w:shd w:fill="FFFF99" w:val="clear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На прогнозируемый период показатель принимается 0,15 Гкал/ на 1 кв.метр в год.</w:t>
      </w:r>
    </w:p>
    <w:p>
      <w:pPr>
        <w:pStyle w:val="Normal"/>
        <w:spacing w:lineRule="auto" w:line="240" w:before="0" w:after="0"/>
        <w:ind w:firstLine="709"/>
        <w:jc w:val="both"/>
        <w:rPr>
          <w:shd w:fill="FFFF99" w:val="clear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Показатель удельной величины потребления воды в многоквартирных домах  в 2016 году не изменился и составляет  17,47 куб. метров на 1 проживающего. </w:t>
      </w:r>
    </w:p>
    <w:p>
      <w:pPr>
        <w:pStyle w:val="Normal"/>
        <w:spacing w:lineRule="auto" w:line="240" w:before="0" w:after="0"/>
        <w:ind w:firstLine="709"/>
        <w:jc w:val="both"/>
        <w:rPr>
          <w:shd w:fill="FFFFFF" w:val="clear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Данный показатель планируется к увеличению за счет строительства и реконструкции сетей водоснабжения и водоотведения на территории района в 2017 году, что приведет к стабильному снабжению водой жителей и повысит удельную  величину данного показателя.</w:t>
      </w:r>
    </w:p>
    <w:p>
      <w:pPr>
        <w:pStyle w:val="Normal"/>
        <w:spacing w:lineRule="auto" w:line="240" w:before="0" w:after="0"/>
        <w:ind w:firstLine="709"/>
        <w:jc w:val="both"/>
        <w:rPr>
          <w:shd w:fill="FFFF99" w:val="clear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Показатель удельной величины потребления газа в многоквартирных домах не изменился и составляет 158,68 куб. метров на 1 проживающего в 2016 году. </w:t>
      </w:r>
    </w:p>
    <w:p>
      <w:pPr>
        <w:pStyle w:val="Normal"/>
        <w:spacing w:lineRule="auto" w:line="240" w:before="0" w:after="0"/>
        <w:ind w:firstLine="709"/>
        <w:jc w:val="both"/>
        <w:rPr>
          <w:shd w:fill="FFFF99" w:val="clear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Данный показатель не планируется к увеличению.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sz w:val="28"/>
          <w:szCs w:val="28"/>
          <w:shd w:fill="FFFFFF" w:val="clear"/>
        </w:rPr>
      </w:r>
    </w:p>
    <w:p>
      <w:pPr>
        <w:pStyle w:val="Normal"/>
        <w:spacing w:lineRule="auto" w:line="240" w:before="0" w:after="0"/>
        <w:ind w:firstLine="709"/>
        <w:jc w:val="both"/>
        <w:rPr>
          <w:shd w:fill="FFFF99" w:val="clear"/>
        </w:rPr>
      </w:pPr>
      <w:r>
        <w:rPr>
          <w:rFonts w:cs="Times New Roman" w:ascii="Times New Roman" w:hAnsi="Times New Roman"/>
          <w:b/>
          <w:sz w:val="28"/>
          <w:szCs w:val="28"/>
          <w:shd w:fill="FFFFFF" w:val="clear"/>
        </w:rPr>
        <w:t>Показатель 40. Удельная величина потребления энергетических ресурсов муниципальными бюджетными учреждениями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>.</w:t>
      </w:r>
    </w:p>
    <w:p>
      <w:pPr>
        <w:pStyle w:val="Normal"/>
        <w:spacing w:lineRule="auto" w:line="240" w:before="0" w:after="0"/>
        <w:ind w:firstLine="709"/>
        <w:jc w:val="both"/>
        <w:rPr>
          <w:shd w:fill="FFFF99" w:val="clear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В 2016 году отмечено увеличение удельной величины потребления электрической энергии муниципальными бюджетными учреждениями на 2,57 процентных пункта в сравнении с 2015 годом, в связи с введением в эксплуатацию новых точек освещения, приобретением и вводом в эксплуатацию офисной техники и других электроприборов, в том числе энергоемких: сплит-системы, стиральные машины и холодильные камеры для детских дошкольных учреждений и пр.</w:t>
      </w:r>
    </w:p>
    <w:p>
      <w:pPr>
        <w:pStyle w:val="Normal"/>
        <w:spacing w:lineRule="auto" w:line="240" w:before="0" w:after="0"/>
        <w:ind w:firstLine="709"/>
        <w:jc w:val="both"/>
        <w:rPr>
          <w:shd w:fill="FFFF99" w:val="clear"/>
        </w:rPr>
      </w:pPr>
      <w:bookmarkStart w:id="5" w:name="_Hlk480553538"/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Увеличение удельной величины потребления электрической энергии связано с увеличением численности учащихся и воспитанников муниципальных бюджетных общеобразовательных учреждений, повышением посещаемости детьми различных кружков и секций. </w:t>
      </w:r>
      <w:bookmarkEnd w:id="5"/>
      <w:r>
        <w:rPr>
          <w:rFonts w:cs="Times New Roman" w:ascii="Times New Roman" w:hAnsi="Times New Roman"/>
          <w:sz w:val="28"/>
          <w:szCs w:val="28"/>
          <w:shd w:fill="FFFFFF" w:val="clear"/>
        </w:rPr>
        <w:t>В плановом периоде 2017-2019 годов этот показатель планируется к увеличению.</w:t>
      </w:r>
    </w:p>
    <w:p>
      <w:pPr>
        <w:pStyle w:val="Normal"/>
        <w:spacing w:lineRule="auto" w:line="240" w:before="0" w:after="0"/>
        <w:ind w:firstLine="709"/>
        <w:jc w:val="both"/>
        <w:rPr>
          <w:shd w:fill="FFFF99" w:val="clear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Значение показателя «Удельная величина потребления тепловой энергии муниципальными бюджетными учреждениями» осталось на уровне 2015 года (0,02 Гкал на 1 кв. метр общей площади). В плановом периоде 2017-2019 годов показатель не планируется к увеличению. Сохранение удельной величины потребления тепловой энергии на один кв.м связано с установлением приборов учета тепловой энергии в зданиях бюджетных учреждений.</w:t>
      </w:r>
    </w:p>
    <w:p>
      <w:pPr>
        <w:pStyle w:val="Normal"/>
        <w:tabs>
          <w:tab w:val="left" w:pos="847" w:leader="none"/>
        </w:tabs>
        <w:spacing w:lineRule="auto" w:line="240" w:before="0" w:after="0"/>
        <w:ind w:firstLine="709"/>
        <w:jc w:val="both"/>
        <w:rPr>
          <w:shd w:fill="FFFF99" w:val="clear"/>
        </w:rPr>
      </w:pPr>
      <w:bookmarkStart w:id="6" w:name="_Hlk480553686"/>
      <w:bookmarkEnd w:id="6"/>
      <w:r>
        <w:rPr>
          <w:rFonts w:cs="Times New Roman" w:ascii="Times New Roman" w:hAnsi="Times New Roman"/>
          <w:sz w:val="28"/>
          <w:szCs w:val="28"/>
          <w:shd w:fill="FFFFFF" w:val="clear"/>
        </w:rPr>
        <w:t>В 2016 году отмечено увеличение удельной величины потребления холодной воды муниципальными бюджетными учреждениями на 0,06 процентного пункта в сравнении с 2015 годом, что связано с увеличением численности учащихся и воспитанников муниципальных бюджетных общеобразовательных учреждений, а также с повышением посещаемости детьми различных кружков и секций. В плановом периоде 2017-2019 годов показатель также планируется к увеличению.</w:t>
      </w:r>
    </w:p>
    <w:p>
      <w:pPr>
        <w:pStyle w:val="Normal"/>
        <w:tabs>
          <w:tab w:val="left" w:pos="1080" w:leader="none"/>
        </w:tabs>
        <w:spacing w:lineRule="auto" w:line="240" w:before="0" w:after="0"/>
        <w:ind w:firstLine="709"/>
        <w:jc w:val="both"/>
        <w:rPr>
          <w:shd w:fill="FFFF99" w:val="clear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Увеличение показателя удельной величины потребления природного газа на 0,27 куб. метров на 1 человека населения произошло вследствие газификации</w:t>
      </w:r>
      <w:r>
        <w:rPr>
          <w:rFonts w:cs="Times New Roman" w:ascii="Times New Roman" w:hAnsi="Times New Roman"/>
          <w:i/>
          <w:iCs/>
          <w:sz w:val="28"/>
          <w:szCs w:val="28"/>
          <w:shd w:fill="FFFFFF" w:val="clear"/>
        </w:rPr>
        <w:t xml:space="preserve"> </w:t>
      </w:r>
      <w:bookmarkStart w:id="7" w:name="_Hlk480553882"/>
      <w:r>
        <w:rPr>
          <w:rFonts w:cs="Times New Roman" w:ascii="Times New Roman" w:hAnsi="Times New Roman"/>
          <w:sz w:val="28"/>
          <w:szCs w:val="28"/>
          <w:shd w:fill="FFFFFF" w:val="clear"/>
        </w:rPr>
        <w:t>в 2016 году Администрации Краснодонецкого сельского поселения, а также дальнейшей работой трех общеобразовательных учреждений (МБДОУ детский сад №58 «Росинка», МБДОУ детский сад №59 «Ромашка», МБУ ДО ДЮСШ №3) и двух учреждений культуры (МБУ ДО «Детская музыкальная школа х. Богураев», МБУК Богураевского сельского поселения «Богураевская клубная система») газифицированных в 2015 году.</w:t>
      </w:r>
      <w:bookmarkEnd w:id="7"/>
      <w:r>
        <w:rPr>
          <w:rFonts w:cs="Times New Roman" w:ascii="Times New Roman" w:hAnsi="Times New Roman"/>
          <w:i/>
          <w:iCs/>
          <w:sz w:val="28"/>
          <w:szCs w:val="28"/>
          <w:shd w:fill="FFFFFF" w:val="clear"/>
        </w:rPr>
        <w:t xml:space="preserve"> 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>В плановом периоде 2017-2019 годов  планируется увеличение удельной величины потребления природного газа муниципальными бюджетными учреждениями в связи с дальнейшей газификацией и техническим перевооружением угольных котельных по использованию вида топлива «природный газ» вместо твердого топлива (угля)</w:t>
      </w:r>
      <w:r>
        <w:rPr>
          <w:rFonts w:cs="Times New Roman" w:ascii="Times New Roman" w:hAnsi="Times New Roman"/>
          <w:i/>
          <w:iCs/>
          <w:sz w:val="28"/>
          <w:szCs w:val="28"/>
          <w:shd w:fill="FFFFFF" w:val="clear"/>
        </w:rPr>
        <w:t>.</w:t>
      </w:r>
    </w:p>
    <w:p>
      <w:pPr>
        <w:pStyle w:val="Normal"/>
        <w:tabs>
          <w:tab w:val="left" w:pos="1080" w:leader="none"/>
        </w:tabs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Учитывая, что для расчета данного показателя применяется среднегодовая численность постоянного населения муниципального района, которая имеет ежегодную тенденцию к снижению, все удельные величины показателя будут увеличиваться по объективным причинам.</w:t>
      </w:r>
    </w:p>
    <w:sectPr>
      <w:footerReference w:type="default" r:id="rId2"/>
      <w:type w:val="nextPage"/>
      <w:pgSz w:w="11906" w:h="16838"/>
      <w:pgMar w:left="1134" w:right="567" w:header="0" w:top="624" w:footer="567" w:bottom="1525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Calibri">
    <w:charset w:val="01"/>
    <w:family w:val="roman"/>
    <w:pitch w:val="default"/>
  </w:font>
  <w:font w:name="Tahoma">
    <w:charset w:val="01"/>
    <w:family w:val="roman"/>
    <w:pitch w:val="default"/>
  </w:font>
  <w:font w:name="Cambria">
    <w:charset w:val="01"/>
    <w:family w:val="roman"/>
    <w:pitch w:val="default"/>
  </w:font>
  <w:font w:name="Arial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9"/>
      <w:spacing w:before="0" w:after="200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16</w:t>
    </w:r>
    <w:r>
      <w:fldChar w:fldCharType="end"/>
    </w:r>
  </w:p>
</w:ftr>
</file>

<file path=word/settings.xml><?xml version="1.0" encoding="utf-8"?>
<w:settings xmlns:w="http://schemas.openxmlformats.org/wordprocessingml/2006/main">
  <w:zoom w:percent="100"/>
  <w:displayBackgroundShape/>
  <w:defaultTabStop w:val="708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roid Sans Fallback" w:cs="FreeSans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Calibri"/>
      <w:color w:val="00000A"/>
      <w:sz w:val="22"/>
      <w:szCs w:val="22"/>
      <w:lang w:val="ru-RU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" w:customStyle="1">
    <w:name w:val="Основной шрифт абзаца3"/>
    <w:qFormat/>
    <w:rPr/>
  </w:style>
  <w:style w:type="character" w:styleId="2" w:customStyle="1">
    <w:name w:val="Основной шрифт абзаца2"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1" w:customStyle="1">
    <w:name w:val="Основной шрифт абзаца1"/>
    <w:qFormat/>
    <w:rPr/>
  </w:style>
  <w:style w:type="character" w:styleId="Style14" w:customStyle="1">
    <w:name w:val="Текст выноски Знак"/>
    <w:qFormat/>
    <w:rPr>
      <w:rFonts w:ascii="Tahoma" w:hAnsi="Tahoma" w:cs="Tahoma"/>
      <w:sz w:val="16"/>
      <w:szCs w:val="16"/>
    </w:rPr>
  </w:style>
  <w:style w:type="character" w:styleId="Style15" w:customStyle="1">
    <w:name w:val="Верхний колонтитул Знак"/>
    <w:qFormat/>
    <w:rPr>
      <w:sz w:val="22"/>
      <w:szCs w:val="22"/>
    </w:rPr>
  </w:style>
  <w:style w:type="character" w:styleId="Style16" w:customStyle="1">
    <w:name w:val="Нижний колонтитул Знак"/>
    <w:qFormat/>
    <w:rPr>
      <w:sz w:val="22"/>
      <w:szCs w:val="22"/>
    </w:rPr>
  </w:style>
  <w:style w:type="character" w:styleId="ListLabel4" w:customStyle="1">
    <w:name w:val="ListLabel 4"/>
    <w:qFormat/>
    <w:rPr>
      <w:rFonts w:eastAsia="Times New Roman"/>
    </w:rPr>
  </w:style>
  <w:style w:type="character" w:styleId="ListLabel3" w:customStyle="1">
    <w:name w:val="ListLabel 3"/>
    <w:qFormat/>
    <w:rPr>
      <w:rFonts w:eastAsia="Wingdings"/>
    </w:rPr>
  </w:style>
  <w:style w:type="character" w:styleId="ListLabel2" w:customStyle="1">
    <w:name w:val="ListLabel 2"/>
    <w:qFormat/>
    <w:rPr>
      <w:rFonts w:eastAsia="Courier New"/>
    </w:rPr>
  </w:style>
  <w:style w:type="character" w:styleId="ListLabel1" w:customStyle="1">
    <w:name w:val="ListLabel 1"/>
    <w:qFormat/>
    <w:rPr>
      <w:rFonts w:eastAsia="Symbol"/>
    </w:rPr>
  </w:style>
  <w:style w:type="character" w:styleId="Style17" w:customStyle="1">
    <w:name w:val="Основной текст_"/>
    <w:qFormat/>
    <w:rPr>
      <w:sz w:val="27"/>
      <w:shd w:fill="FFFFFF" w:val="clear"/>
    </w:rPr>
  </w:style>
  <w:style w:type="character" w:styleId="Style18" w:customStyle="1">
    <w:name w:val="Основной текст Знак"/>
    <w:qFormat/>
    <w:rPr>
      <w:sz w:val="24"/>
    </w:rPr>
  </w:style>
  <w:style w:type="character" w:styleId="21" w:customStyle="1">
    <w:name w:val="Основной текст с отступом 2 Знак"/>
    <w:qFormat/>
    <w:rPr>
      <w:sz w:val="24"/>
    </w:rPr>
  </w:style>
  <w:style w:type="character" w:styleId="31" w:customStyle="1">
    <w:name w:val="Основной текст с отступом 3 Знак"/>
    <w:qFormat/>
    <w:rPr>
      <w:sz w:val="16"/>
    </w:rPr>
  </w:style>
  <w:style w:type="character" w:styleId="Style19" w:customStyle="1">
    <w:name w:val="Основной текст с отступом Знак"/>
    <w:qFormat/>
    <w:rPr>
      <w:sz w:val="24"/>
    </w:rPr>
  </w:style>
  <w:style w:type="character" w:styleId="5" w:customStyle="1">
    <w:name w:val="Заголовок 5 Знак"/>
    <w:qFormat/>
    <w:rPr>
      <w:rFonts w:ascii="Calibri" w:hAnsi="Calibri" w:eastAsia="0"/>
      <w:b/>
      <w:i/>
      <w:sz w:val="26"/>
    </w:rPr>
  </w:style>
  <w:style w:type="character" w:styleId="4" w:customStyle="1">
    <w:name w:val="Заголовок 4 Знак"/>
    <w:qFormat/>
    <w:rPr>
      <w:rFonts w:ascii="Calibri" w:hAnsi="Calibri" w:eastAsia="0"/>
      <w:b/>
      <w:sz w:val="28"/>
    </w:rPr>
  </w:style>
  <w:style w:type="character" w:styleId="32" w:customStyle="1">
    <w:name w:val="Заголовок 3 Знак"/>
    <w:qFormat/>
    <w:rPr>
      <w:rFonts w:ascii="Cambria" w:hAnsi="Cambria" w:eastAsia="0"/>
      <w:b/>
      <w:sz w:val="26"/>
    </w:rPr>
  </w:style>
  <w:style w:type="character" w:styleId="22" w:customStyle="1">
    <w:name w:val="Заголовок 2 Знак"/>
    <w:qFormat/>
    <w:rPr>
      <w:rFonts w:ascii="Cambria" w:hAnsi="Cambria" w:eastAsia="0"/>
      <w:b/>
      <w:i/>
      <w:sz w:val="28"/>
    </w:rPr>
  </w:style>
  <w:style w:type="character" w:styleId="11" w:customStyle="1">
    <w:name w:val="Заголовок 1 Знак"/>
    <w:qFormat/>
    <w:rPr>
      <w:rFonts w:ascii="Cambria" w:hAnsi="Cambria" w:eastAsia="0"/>
      <w:b/>
      <w:sz w:val="32"/>
    </w:rPr>
  </w:style>
  <w:style w:type="paragraph" w:styleId="Style20">
    <w:name w:val="Заголовок"/>
    <w:basedOn w:val="Normal"/>
    <w:next w:val="Style21"/>
    <w:qFormat/>
    <w:pPr>
      <w:keepNext/>
      <w:spacing w:before="240" w:after="120"/>
    </w:pPr>
    <w:rPr>
      <w:rFonts w:ascii="Arial" w:hAnsi="Arial" w:eastAsia="Droid Sans Fallback" w:cs="FreeSans"/>
      <w:sz w:val="28"/>
      <w:szCs w:val="28"/>
    </w:rPr>
  </w:style>
  <w:style w:type="paragraph" w:styleId="Style21">
    <w:name w:val="Основной текст"/>
    <w:basedOn w:val="Normal"/>
    <w:pPr>
      <w:spacing w:lineRule="auto" w:line="288" w:before="0" w:after="140"/>
    </w:pPr>
    <w:rPr/>
  </w:style>
  <w:style w:type="paragraph" w:styleId="Style22">
    <w:name w:val="Список"/>
    <w:basedOn w:val="Style21"/>
    <w:pPr/>
    <w:rPr>
      <w:rFonts w:ascii="Times New Roman" w:hAnsi="Times New Roman" w:cs="FreeSans"/>
    </w:rPr>
  </w:style>
  <w:style w:type="paragraph" w:styleId="Style23" w:customStyle="1">
    <w:name w:val="Название"/>
    <w:basedOn w:val="Normal"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ascii="Times New Roman" w:hAnsi="Times New Roman" w:cs="FreeSans"/>
    </w:rPr>
  </w:style>
  <w:style w:type="paragraph" w:styleId="Style25">
    <w:name w:val="Заглавие"/>
    <w:basedOn w:val="Normal"/>
    <w:qFormat/>
    <w:pPr>
      <w:keepNext/>
      <w:spacing w:before="240" w:after="120"/>
    </w:pPr>
    <w:rPr>
      <w:rFonts w:ascii="Arial" w:hAnsi="Arial" w:eastAsia="Droid Sans Fallback" w:cs="FreeSans"/>
      <w:sz w:val="28"/>
      <w:szCs w:val="28"/>
    </w:rPr>
  </w:style>
  <w:style w:type="paragraph" w:styleId="Indexheading">
    <w:name w:val="index heading"/>
    <w:basedOn w:val="Normal"/>
    <w:qFormat/>
    <w:pPr>
      <w:suppressLineNumbers/>
    </w:pPr>
    <w:rPr>
      <w:rFonts w:ascii="Times New Roman" w:hAnsi="Times New Roman"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33" w:customStyle="1">
    <w:name w:val="Указатель3"/>
    <w:basedOn w:val="Normal"/>
    <w:qFormat/>
    <w:pPr>
      <w:suppressLineNumbers/>
    </w:pPr>
    <w:rPr>
      <w:rFonts w:ascii="Times New Roman" w:hAnsi="Times New Roman" w:cs="FreeSans"/>
    </w:rPr>
  </w:style>
  <w:style w:type="paragraph" w:styleId="23" w:customStyle="1">
    <w:name w:val="Название объекта2"/>
    <w:basedOn w:val="Normal"/>
    <w:qFormat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24" w:customStyle="1">
    <w:name w:val="Указатель2"/>
    <w:basedOn w:val="Normal"/>
    <w:qFormat/>
    <w:pPr>
      <w:suppressLineNumbers/>
    </w:pPr>
    <w:rPr>
      <w:rFonts w:ascii="Times New Roman" w:hAnsi="Times New Roman" w:cs="FreeSans"/>
    </w:rPr>
  </w:style>
  <w:style w:type="paragraph" w:styleId="12" w:customStyle="1">
    <w:name w:val="Название объекта1"/>
    <w:basedOn w:val="Normal"/>
    <w:qFormat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13" w:customStyle="1">
    <w:name w:val="Указатель1"/>
    <w:basedOn w:val="Normal"/>
    <w:qFormat/>
    <w:pPr>
      <w:suppressLineNumbers/>
    </w:pPr>
    <w:rPr>
      <w:rFonts w:ascii="Times New Roman" w:hAnsi="Times New Roman" w:cs="FreeSans"/>
    </w:rPr>
  </w:style>
  <w:style w:type="paragraph" w:styleId="Style26" w:customStyle="1">
    <w:name w:val="Знак Знак Знак Знак Знак Знак Знак Знак Знак Знак Знак Знак"/>
    <w:basedOn w:val="Normal"/>
    <w:qFormat/>
    <w:pPr>
      <w:spacing w:lineRule="auto" w:line="240" w:before="280" w:after="280"/>
      <w:jc w:val="both"/>
    </w:pPr>
    <w:rPr>
      <w:rFonts w:ascii="Tahoma" w:hAnsi="Tahoma" w:cs="Times New Roman"/>
      <w:sz w:val="20"/>
      <w:szCs w:val="20"/>
      <w:lang w:val="en-US"/>
    </w:rPr>
  </w:style>
  <w:style w:type="paragraph" w:styleId="ListParagraph">
    <w:name w:val="List Paragraph"/>
    <w:basedOn w:val="Normal"/>
    <w:qFormat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qFormat/>
    <w:pPr/>
    <w:rPr>
      <w:rFonts w:ascii="Tahoma" w:hAnsi="Tahoma" w:eastAsia="Tahoma"/>
      <w:sz w:val="16"/>
    </w:rPr>
  </w:style>
  <w:style w:type="paragraph" w:styleId="Style27" w:customStyle="1">
    <w:name w:val="Знак Знак Знак Знак Знак Знак Знак Знак Знак"/>
    <w:basedOn w:val="Normal"/>
    <w:qFormat/>
    <w:pPr>
      <w:spacing w:lineRule="auto" w:line="240" w:before="280" w:after="280"/>
    </w:pPr>
    <w:rPr>
      <w:rFonts w:ascii="Tahoma" w:hAnsi="Tahoma" w:cs="Tahoma"/>
      <w:sz w:val="20"/>
      <w:szCs w:val="20"/>
      <w:lang w:val="en-US"/>
    </w:rPr>
  </w:style>
  <w:style w:type="paragraph" w:styleId="Style28">
    <w:name w:val="Верхний колонтитул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Style29">
    <w:name w:val="Нижний колонтитул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Style30" w:customStyle="1">
    <w:name w:val="Содержимое таблицы"/>
    <w:basedOn w:val="Normal"/>
    <w:qFormat/>
    <w:pPr>
      <w:suppressLineNumbers/>
    </w:pPr>
    <w:rPr/>
  </w:style>
  <w:style w:type="paragraph" w:styleId="Style31" w:customStyle="1">
    <w:name w:val="Заголовок таблицы"/>
    <w:basedOn w:val="Style30"/>
    <w:qFormat/>
    <w:pPr>
      <w:jc w:val="center"/>
    </w:pPr>
    <w:rPr>
      <w:b/>
      <w:bCs/>
    </w:rPr>
  </w:style>
  <w:style w:type="paragraph" w:styleId="14" w:customStyle="1">
    <w:name w:val="Основной текст1"/>
    <w:basedOn w:val="Normal"/>
    <w:qFormat/>
    <w:pPr>
      <w:widowControl w:val="false"/>
      <w:shd w:val="clear" w:color="auto" w:fill="FFFFFF"/>
      <w:spacing w:lineRule="exact" w:line="317"/>
      <w:jc w:val="center"/>
    </w:pPr>
    <w:rPr>
      <w:sz w:val="27"/>
    </w:rPr>
  </w:style>
  <w:style w:type="paragraph" w:styleId="BodyTextIndent2">
    <w:name w:val="Body Text Indent 2"/>
    <w:basedOn w:val="Normal"/>
    <w:qFormat/>
    <w:pPr>
      <w:ind w:firstLine="720"/>
      <w:jc w:val="both"/>
    </w:pPr>
    <w:rPr>
      <w:sz w:val="28"/>
    </w:rPr>
  </w:style>
  <w:style w:type="paragraph" w:styleId="BodyTextIndent3">
    <w:name w:val="Body Text Indent 3"/>
    <w:basedOn w:val="Normal"/>
    <w:qFormat/>
    <w:pPr>
      <w:ind w:firstLine="720"/>
      <w:jc w:val="both"/>
    </w:pPr>
    <w:rPr>
      <w:sz w:val="26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27320</TotalTime>
  <Application>LibreOffice/4.4.1.2$Linux_x86 LibreOffice_project/40m0$Build-2</Application>
  <Paragraphs>168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2016-04-19T18:21:00Z</dcterms:created>
  <dc:creator>513</dc:creator>
  <dc:language>ru-RU</dc:language>
  <cp:lastModifiedBy>vga  </cp:lastModifiedBy>
  <cp:lastPrinted>2017-04-21T11:53:00Z</cp:lastPrinted>
  <dcterms:modified xsi:type="dcterms:W3CDTF">2017-04-27T10:49:14Z</dcterms:modified>
  <cp:revision>22</cp:revision>
  <dc:title>Приложение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