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I. Экономическое развитие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1. Число субъектов малого и среднего предпринимательства.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расчете на 10 тыс. жителей района количество субъектов малого и среднего предпринимательства составило в 2015 году - 309,92, в 2016 году - 353,44 единиц. Рост субъектов малого и среднего предпринимательства связан с активизацией предпринимательской деятельности по причине улучшения налогового климата и развития различных форм поддержки предпринимательства в рамках реализации подпрограммы «Развитие субъектов малого и среднего предпринимательства в Белокалитвинском районе» муниципальной программы «Экономическое развитие и инновационная экономика».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прогнозируемом периоде ожидается сохранение тенденции роста числа субъектов малого и среднего предпринимательства: в 2017 году - 354,13 единиц в расчете на 10 тыс. жителей района, 2018 - 356,00 и 2019 - 358,00 за счет продолжения реализации муниципальной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2016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Белокалитвинского района увеличилась на 0,2 процентных пункта и составила 24,50%.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2017 году ожидается значение данного показателя на уровне 25,10%.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2018-2019 годах прогнозируется увеличение данного показателя до 25,70% и 26,30% соответственно в связи с сохранением динамики превышения темпов роста численности работников малых и средних предприятий над темпом роста численности работников всех предприятий и организаций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3. Объем инвестиций в основной капитал (за исключением бюджетных средств) в расчете на 1 жителя.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В 2015 году объем инвестиций в основной капитал в расчете на 1 жителя сложился в сумме 14330,2 рублей. В 2016 году показатель увеличился на 102,03% и составил 28950,86 рублей. 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Рост значения показателя обусловлен увеличением объема инвестиций в ООО «ШУ «Садкинское», направленных на монтаж и запуск лавы, приобретение горно-шахтного оборудования и строительство обогатительной фабрики, завершением проектов «Установка печи предварительного нагрева слябов перед прокаткой», а также «Установка линии обработки тонкого листа» и «Установка линии отделки тонкого листа длиной до 7 м» в АО «Алюминий Металлург Рус».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В 2017 году завершатся инвестиционные проекты АО «Алюминий Металлург Рус» «Установка линии очистки поверхности плит» и «Строительство печи для плавления стружки», а также «Строительство обогатительной фабрики» ООО «ШУ «Садкинское». Объем инвестиций в основной капитал в расчете на 1 жителя прогнозируется на уровне 29020,77 рублей.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В 2018 году прогнозируется увеличение значения данного показателя до 29239,70 рублей. ООО «ШУ «Садкинское» планирует приобретение очистного оборудования и модернизацию подземной транспортной цепочки. АО «Алюминий Металлург Рус» планирует осуществление модернизации производства.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В 2019 году ООО «ШУ «Садкинское» направит инвестиции на приобретение и монтаж горного оборудования. Предприятия металлургического сектора экономики предполагают направить средства на обновление оборудования. Объем инвестиций в основной капитал в расчете на 1 жителя по прогнозу увеличится до 29448,41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Показатель 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По итогам 2016 года 99,00% площади земельных участков являются объектами налогообложения (в 2015 году - 99,00%). К 2019 году данный показатель будет доведен до 100%.</w:t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Показатель 5. Доля прибыльных сельскохозяйственных организаций в общем их числе.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Доля прибыльных сельскохозяйственных организаций в 2016 году увеличилась на 3 процентных пункта и составила 95%, так как финансовое состояние предприятий улучшено в связи с получением валового сбора зерновых и зернобобовых культур на 34,2% выше уровня 2015 года. Однако 1 предприятие получило убытки: ОАО «Птицефабрика Белокалитвинская». В результате принимаемых мер по выведению ОАО «Птицефабрика Белокалитвинская» на рентабельный уровень работы, в 2018-2019 годах доля прибыльных предприятий составит 100%.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Доля автомобильных дорог общего пользования местного значения, не отвечающих нормативным требованиям, в 2016 году составила 52,60 %. В отчетном году работа по ремонту, содержанию и строительству автомобильных дорог велась активно: произведен капитальный ремонт автомобильной дороги «х. Голубинка -                       х. Казьминка» </w:t>
      </w:r>
      <w:r>
        <w:rPr>
          <w:rFonts w:eastAsia="Calibri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протяженностью 2,4 км, произведен капитальный ремонт автомобильной дороги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«Подъезд от автомобильной дороги «пос. Углекаменный -         х. Западный» к пос. Боярышниковый»» протяженностью 2,2 км, завершен капитальный ремонт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подъездной дороги по ул. Кирова к МБДОУ ДС «Теремок»                  в п. Сосны Белокалитвинского района протяженностью 0,8 км. </w:t>
      </w:r>
      <w:r>
        <w:rPr>
          <w:rFonts w:eastAsia="Calibri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 Также в 2016 году начата паспортизация автомобильных дорог общего пользования местного значения, в результате которой уменьшилась общая протяженность автомобильных дорог. П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оэтому по сравнению с 2015 годом данный показатель снизился на 0,43%.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99" w:val="clear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В 2017 году планируется продолжать принимать меры по приведению автомобильных дорог общего пользования местного значения к нормативным требованиям, закончить паспортизацию </w:t>
      </w:r>
      <w:r>
        <w:rPr>
          <w:rFonts w:eastAsia="Calibri" w:cs="Times New Roman" w:ascii="Times New Roman" w:hAnsi="Times New Roman"/>
          <w:bCs/>
          <w:sz w:val="28"/>
          <w:szCs w:val="28"/>
          <w:shd w:fill="FFFFFF" w:val="clear"/>
          <w:lang w:eastAsia="ru-RU"/>
        </w:rPr>
        <w:t>автомобильных дорог общего пользования местного значения и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 довести значение данного показателя до 52,37%, в 2018 году - до 52,17%, в 2019 году - до 51,97%.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По состоянию на 1 января 2017 года на территории Белокалитвинского района расположены 15 населенных пунктов с общей численностью 723 человека, которые не имеют регулярного автобусного и (или) железнодорожного сообщения с административным центром - город Белая Калитва. В результате этого доля населения, проживающего в данных  населенных пунктах, составила 0,77%. По отношению к 2015 году показатель улучшен на 0,01 процентных пункта в связи с обеспечением пассажирским транспортом 41 жителя пос. Боярышниковый.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Причины отсутствия автобусного сообщения, это: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малая численность проживающих в населенных пунктах (от 8 человек до 90 человек), являющаяся основным фактором, влияющим на непредставление межбюджетных трансфертов на строительство дорог;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большая отдаленность от административного центра, в связи с чем движение пассажирского автотранспорта является нерентабельным, а также несоответствие отдельных автомобильных дорог нормативным требованиям по обеспечению безопасности дорожного движения.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Администрация Белокалитвинского района продолжает взаимодействовать с руководителями организаций, осуществляющих пассажирские перевозки, по вопросу внесения изменений в схемы движения автотранспорта и охвата ранее не обеспеченного пассажирскими перевозками населения, что позволит снизить значение  показателя в 2017 году - до 0,76%, в 2018 году - до 0,75%, в 2019 году - до 0,74%.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8. Среднемесячная номинальная заработная плата работников: крупных и средних предприятий и некоммерческих организаций Белокалитвинского района; муниципальных дошкольных образовательных учреждений; муниципальных общеобразовательных учреждений; муниципальных учреждений культуры и искусства; муниципальных учреждений физической культуры и спорта.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2016 году среднемесячная номинальная заработная плата работников крупных и средних предприятий и некоммерческих организаций Белокалитвинского района увеличилась по сравнению с 2015 годом на 6,18% и составила 22440,60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Рост среднемесячной номинальной заработной платы работников обусловлен доведением минимального размера оплаты труда до величины прожиточного минимума трудоспособного населения в Ростовской области на предприятиях внебюджетной сферы. На 2017-2019 годы прогнозируется увеличение среднемесячной заработной платы и доведение ее к 2019 году до 27567,00 рублей.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В 2016 году среднемесячная начисленная заработная плата работников муниципальных дошкольных образовательных учреждений составила 14325,80 рублей и увеличилась по сравнению с 2015 годом на 857,20 рублей в связи с увеличением минимального размера оплаты труда с 5965 рублей в 2015 году до 6204 рублей с 1 января 2016 года и до 7500 рублей с 1 июля 2016 года и доведением средней заработной платы педагогических работников дошкольных образовательных учреждений до 100% средней заработной платы в сфере общего образования в Ростовской области в соответствии с Указом Президента Российской Федерации от 07.05.2012 №597 «О мероприятиях по реализации государственной социальной политики». Рост среднемесячной начисленной заработной платы работников муниципальных дошкольных образовательных учреждений в 2017-2019 годах обусловлен продолжающимся поэтапным повышением заработной платы педагогических работников и прогнозируемым увеличением минимального размера оплаты труда с 1 июля 2017 года до 7800 рублей.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В 2016 году среднемесячная начисленная заработная плата работников муниципальных общеобразовательных учреждений составила 20578,00 рублей и увеличилась по сравнению с 2015 годом на 243,60 рублей в связи с увеличением минимального размера оплаты труда с 5965 рублей в 2015  году до 6204 рублей с 1 января 2016 года и до 7500 рублей с 1 июля 2016 года и доведением средней заработной платы педагогических работников общеобразовательных учреждений до 100% средней заработной платы в сфере общего образования в Ростовской области в соответствии с Указом Президента Российской Федерации от 07.05.2012 №597 «О мероприятиях по реализации государственной социальной политики». Рост среднемесячной начисленной заработной платы работников муниципальных дошкольных образовательных учреждений в 2017-2019 годах обусловлен продолжающимся поэтапным повышением заработной платы педагогических работников и прогнозируемым увеличением минимального размера оплаты труда с 1 июля 2017 года до 7800 рублей.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В 2016 году среднемесячная начисленная заработная плата учителей муниципальных общеобразовательных  учреждений составила 26836,40 рублей и уменьшилась по сравнению с 2015 годом на 102,90 рублей в связи с изменением методики расчета этого показателя в 2015 году по сравнению с 2016 годом. В 2015 году в расчет средней заработной платы учителей были включены расходы на выплату материальной помощи. При этом среднемесячная начисленная заработная плата учителей муниципальных общеобразовательных  учреждений в 2016 году превысила среднеобластной уровень на 1350,40 рублей, или на 5,3%. Рост среднемесячной начисленной заработной платы учителей муниципальных общеобразовательных учреждений в 2017-2019 годах обусловлен продолжающимся поэтапным повышением заработной платы учителей.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2016 году среднемесячная начисленная заработная плата работников муниципальных учреждений культуры и искусства составила 18298,90 рублей и увеличилась по сравнению с 2015 годом на 2999,60 рублей.  В 2017 году ожидается достижение целевого показателя 22650,0 рублей согласно «дорожной карте». В прогнозируемый период уровень среднемесячной номинальной заработной платы работников учреждений культуры и искусства будет повышаться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в соответствии с реализацией Указа Президента Российской Федерации от 07.05.2012 №597 «О мероприятиях по реализации государственной социальной политики» 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постановления Администрации Белокалитвинского района от 24.04.2013 №613 «Об утверждении Плана мероприятий («дорожной карты»).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Среднемесячная начисленная заработная плата работников муниципальных  учреждений физической культуры и спорта не отражается с 2015 года и в дальнейшем не прогнозируется в связи с тем, что единственное муниципальное учреждение данного профиля (МБОУ ДОД «ДЮСШ №3») изменило в 2014 году ОКВЭД и стало учреждением дополнительного образования детей.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II. Дошкольное образование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 xml:space="preserve">Показатель 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 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2016 году по отношению к 2015 году данный показатель вырос на 0,1 процентного пункта и составил 57,10%.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Рост значения данного показателя связан с доукомплектованием и введением после капитального ремонта МБДОУ ДС № 42 «Дюймовочка».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2019 году данный показатель планируется увеличить до 70,00% в связи с планируемым введением в действие трех строящихся детских садов на 460 мест.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 xml:space="preserve">Показатель 10.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лет. 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2016 году по отношению к 2015 году данный показатель вырос на 0,87 процентного пункта и составил 18,47%.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Увеличение данного показателя объясняется ростом поставленных на учет в автоматизированную систему «Электронный детский сад» на 56 человек, а так же уменьшением численности детей от 1 года до 6 лет на 58 человек.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К 2019 году данный показатель планируется довести до 6,00% в связи с планируемым введением в действие трех строящихся детских садов на 460 мест.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>Показатель 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В 2016 году данный показатель остался на уровне 2015 года. Это связано с тем, что количество муниципальных дошкольных образовательных организаций, здания которых находятся в аварийном состоянии или требуют капитального ремонта, составило 1 единицу (МБДОУ ДС № 27 «Морячок»). 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2017-2019 годах данный показатель прогнозируется на уровне 0,00%, так как в феврале 2017 года учреждение МБДОУ ДС №27 «Морячок» ликвидировано.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shd w:fill="FFFFFF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>III. Общее и дополнительное образование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>Показатель 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Доля выпускников, сдавших единый государственный экзамен по русскому языку и математике в 2016 году, увеличилась по отношению к 2015 году на 0,33 процентного пункта и составила 100,00%. Рост данного показателя связан с улучшением качества подготовки обучающихся к государственной итоговой аттестации.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2017-2019 годах данный показатель планируется не ниже уровня 100,00%.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 xml:space="preserve">Показатель 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Доля выпускников, не получивших аттестаты в 2016 году, уменьшилась по отношению к 2015 году на 0,33 процентного пункта и составила 0,00%. Улучшение данного показателя связано с повышением качества подготовки обучающихся к государственной итоговой аттестации.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2017-2019 годах данный показатель планируется на уровне 0,00%.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>Показатель 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  <w:tab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2016 году данный показатель повысился по отношению к 2015 году на 13,34 процентных пунктов и составил 89,58%. Рост данного показателя связан с открытием пищеблока в МБОУ «Сосновская» СОШ и организацией дистанционного обучения в 7 (17%) образовательных организациях района (МБОУ СОШ №1,2,3,5,6,12,17).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К 2019 году планируется довести значение данного показателя до 90,00%.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 xml:space="preserve">Показатель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 </w:t>
        <w:tab/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2016 году доля общеобразовательных организаций, здания которых находятся в аварийном состоянии или требуют капитального ремонта, осталась на уровне 2015 года и составила 2,38 % (МБОУ СОШ № 3).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2017-2019 годах планируется сохранение данного показателя на уровне 2,38%.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>Показатель 16. Доля детей первой и второй групп здоровья в общей численности обучающихся в муниципальных общеобразовательных учреждениях.</w:t>
        <w:tab/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Доля детей I и II групп здоровья среди школьников остается стабильно высокой. В 2016 году данный показатель увеличился по отношению к 2015 году на 0,45 процентного пункта и составил 90,75%. Рост данного показателя связан с повышением качества медицинского обслуживания и внедрением здоровьесберегающих технологий в общеобразовательных организациях.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К 2019 году данный показатель планируется сохранить на уровне 90,75%.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>Показатель 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  <w:tab/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Доля обучающихся в муниципальных общеобразовательных организациях, занимающихся во 2 смену, в 2016 году снизилась на 0,63 процентного пункта и составила 12,60%. Улучшение данного показателя связано с использованием внутренних резервов общеобразовательных организаций города. 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2017 году ожидается рост данного показателя до 21,50% в связи с ростом количества обучающихся в общеобразовательных организациях, а к 2019 году - уменьшение до 12,40% в связи с планируемым созданием 900 дополнительных мест в МБОУ СОШ № 2 и МБОУ СОШ № 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>Показатель 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Расходы бюджета муниципального образования на общее образование в расчете на одного обучающегося в 39 муниципальных общеобразовательных организациях в 2016 году увеличились по сравнению с 2015 годом на 2,18 тыс. рублей и составили 69,64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Рост данного показателя в 2017 году до 74,28 тыс. рублей связан с дополнительным выделением целевых субсидий на перевод котельной МБОУ СОШ № 11 с твердого топлива на газ и на изготовление ПСД по реконструкции МБОУ СОШ № 11.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В 2018-2019 годах данный показатель планируется на уровне 2015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 xml:space="preserve">Показатель 19.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 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bookmarkStart w:id="0" w:name="__DdeLink__12011_300864778"/>
      <w:bookmarkEnd w:id="0"/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В 2016 году доля детей в возрасте 5-18 лет, получающих услуги по дополнительному образованию в образовательных организациях дополнительного образования, уменьшилась на 0,83 процентного пункта  и составила 80,17%. Уменьшение данного показателя связано с увеличением количества детей данного возраста, а количество воспитанников, занимающихся в кружках и секциях в организациях дополнительного образования в 11 учреждениях дополнительного образования, из которых 10 муниципальных учреждений и 1 учреждение областного подчинения (ГБУ РО «СШОР № 25»), осталось прежним.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>К 2019 году планируется увеличение доли занимающихся до 84,00%.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IV. Культура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20.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Уровень фактической обеспеченности культурно-досуговыми учреждениями от нормативной потребности в 2014-2016 годах составил 97,00%. В 2017 году планируется увеличение этого показателя до 97,50% в связи с планируемым открытием на территории г. Белая Калитва в 2017 году Центра культурного развития. 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Библиотеками район обеспечен в 2016 году на 125,30% от нормативной потребности. В плановом периоде ожидается повышение данного показателя до 125,60% в связи с прогнозируемой убылью населения.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Уровень фактической обеспеченности парками культуры и отдыха в Белокалитвинском районе составляет 100,00% от нормативной потребности и сохранится на планируемый период.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 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Доля муниципальных учреждений культуры, здания которых требуют капитального ремонта, в 2015 году составила 48,03%, в 2016 году понизилась до 2,44% в связи с проведением дополнительного обследования. В 2017-2019 годах прогнозируется сохранение значения показателя на уровне 2,44%.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Доля объектов культурного наследия, находящихся в муниципальной собственности и требующих консервации или реставрации в 2015 году составила 50%. В 2016 году показатель снизился до 25% в связи с реконструкцией одного объекта культурного наследия, находящегося в муниципальной собственности Белокалитвинского района. К 2019 году прогнозируется сохранение значения показателя.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V. Физическая культура и спорт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Показатель 23. Доля населения, систематически занимающегося физической культурой и спортом.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Доля населения, систематически занимающегося физической культурой и спортом, по отношению к 2015 году увеличилась на 1,57 процентных пункта и составила в 2016 году 34,87% от общего числа жителей в связи с вводом в эксплуатацию открытой плоскостной спортивной площадки в рамках социальной программы «Газпром - детям», капитальным ремонтом здания шахматного клуба, благоустройством стадиона «Калитва» в рамках программы «Доступная среда», внедрением комплекса ГТО на территории района.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прогнозируемом периоде на территории района планируется следующие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проведение капитального ремонта здания Дворца спорта ГБУ РО «СШОР № 25»;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строительство многофункционального спортивного зала на базе МБУ ДО ДЮСШ № 2;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благоустройство спортивных объектов  в рамках программы «Доступная среда»;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увеличение количества жителей, принимающих участие в комплексных спортивных мероприятиях, в том числе реализации комплекса ГТО.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23.1. Доля обучающихся, систематически занимающихся физической культурой и спортом, в общей численности обучающихся.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Доля обучающихся, систематически занимающихся физической культурой и спортом, в общей численности обучающихся в 2015 году составила 78,12%, в 2016 году - 77,95%.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 Снижение данного показателя на 0,17 процентного пункта по сравнению с 2015 годом связано с уменьшением количества обучающихся. К 2019 году планируется доведение значения данного показателя до 78,40% в связи с улучшением спортивной инфраструктуры образовательных организаций и реализацией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мероприятий по внедрению Всероссийского спортивного комплекса «Готов к труду и обороне».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VI. Жилищное строительство и обеспечение граждан жильем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16"/>
          <w:szCs w:val="16"/>
          <w:shd w:fill="FFFFFF" w:val="clear"/>
        </w:rPr>
      </w:pPr>
      <w:r>
        <w:rPr>
          <w:rFonts w:cs="Times New Roman" w:ascii="Times New Roman" w:hAnsi="Times New Roman"/>
          <w:b/>
          <w:sz w:val="16"/>
          <w:szCs w:val="16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24.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Общая площадь жилых помещений, приходящаяся в среднем на одного жителя, в том числе введенная в действие за один год.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Фактическая общая площадь жилых помещений на 2016 год составила 24,62 кв. метров на одного жителя (в том числе введенная в действие за один год - 0,20 кв. метров), что на 0,52 кв. метров меньше к уровню 2015 года. </w:t>
      </w:r>
      <w:bookmarkStart w:id="1" w:name="_Hlk480556491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Уменьшение показателей к уровню 2015 года обусловлено сложившейся экономической ситуацией и окончанием в 2017 году областной адресной программы «Переселения граждан из аварийного жилищного фонда, в том числе с учетом необходимости развития малоэтажного жилищного строительства в 2013-2017 годах» и муниципальной программы Белокалитвинского района «Обеспечение доступным и комфортабельным жильем населения Белокалитвинского района»</w:t>
      </w:r>
      <w:bookmarkEnd w:id="1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2017 году планируется увеличение показателя до 24,83 кв. метров на одного жителя. В 2018-2019 годах прогнозируется увеличение данного показателя до 25,18 и 25,55 кв. метров соответственно в связи с увеличением темпов строительства и предполагаемым строительством многоквартирных жилых домов.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99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Значение показателя общей площади жилых помещений, приходящейся в среднем на одного жителя, введенной в действие за один год в 2017-2019 годах незначительно увеличится и составит 0,20 - 0,21 кв. метров, что связано с увеличением сдачи в эксплуатацию объектов индивидуального жилищного строительства.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25.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Площадь земельных участков, предоставленных для строительства в расчете на 10 тыс. человек населения,</w:t>
      </w:r>
      <w:r>
        <w:rPr>
          <w:shd w:fill="FFFFFF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2" w:name="_Hlk480556651"/>
      <w:bookmarkStart w:id="3" w:name="_GoBack"/>
      <w:bookmarkEnd w:id="2"/>
      <w:bookmarkEnd w:id="3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Фактическая площадь земельных участков, предоставленных для строительства, на 2016 год составила 2,6 га, в том числе для жилищного строительства 1,44 га. Увеличение показателя к уровню 2015 года достигнуто за счет строительства многоквартирных жилых домов и увеличения числа бесплатно предоставленных земельных участков гражданам, имеющим 3-х и более детей.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2017-2019 годах прогнозируется увеличение показателя предоставления земельных участков за счет реализации проекта планировки и межевания территории малоэтажной жилой застройки квартала № 4 в г. Белая Калитва и бесплатного предоставления земельных участков гражданам, имеющим 3-х и более детей.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лет, иных объектов капитального строительства - в течение 5 лет.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2015–2016 годах значение показателя «площадь земельных участков, предоставленных для строительства, в отношении которых с даты принятия решения о предоставлении земельного участка не было получено разрешение на ввод в эксплуатацию по объектам жилищного строительства в течение 3 лет» равно «нулю» в связи с тем, что в отчетном периоде сокращены сроки строительства и ввода объектов жилищного строительства в эксплуатацию, т.е. сроки освоения земельных участков не превышают 3 лет.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прогнозируемом периоде ситуация сохранится за счет исполнения программы строительства и своевременного ввода объектов в эксплуатацию.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2015–2016 годах, значение показателя «площадь земельных участков, предоставленных для строительства, в отношении которых с даты принятия решения о предоставлении земельного участка не было получено разрешение на ввод в эксплуатацию иных объектов капитального строительства в течение 5 лет» равно «нулю» в связи с обеспечением нормативных сроков строительства объектов и сокращением объемов незавершенного строительства.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 прогнозируемый период 2017-2019 годов ситуация сохранится.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VII. Жилищно-коммунальное хозяйство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Доля многоквартирных домов, в которых собственники помещений выбрали и реализуют способ управления многоквартирными домами, в 2016 году составила  98,03%.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Данный показатель снизился по сравнению с 2015 годом в связи с тем, что в Белокалитвинском, Шолоховском, Коксовском и Синегорском поселениях проведены открытые конкурсы по выбору управляющей организации, то есть собственники жилых помещений  выбрали способ управления не самостоятельно.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прогнозируемом периоде 2017-2019 годов показатель не будет снижаться, </w:t>
      </w: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 xml:space="preserve">за счет проведения активной разъяснительной работы с собственниками жилья.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отчетном 2016 году данный показатель не изменился и составил 84,60%. В плановом периоде 2017-2019 годов указанный показатель к увеличению не планируется.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Показатель 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В отчетном периоде доля многоквартирных домов, расположенных на земельных участках, в отношении которых осуществлен государственный кадастровый учет, равен показателю 2015 года и составляет в 2016 году 73,00%.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В 2017-2019 годах планируется увеличение значения показателя на 1 процентный пункт и доведение в 2017 году до 74,00%, в 2018 году – до 75,00%, в 2019 году до 76,00% в результате проведенной работы по постановке на кадастровый учет земельных участков под многоквартирными жилыми домами.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Показатель 30. 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Доля населения, получившего жилые помещения и улучшившего жилищные условия, в 2015 году составила 9,75%, в 2016 году – 11,60%. Увеличение показателя в отчетном году обусловлено выделением дополнительных средств на реализацию мероприятий по переселению граждан из аварийного жилищного фонда за счет областных средств на дома, грозящие обрушением.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прогнозируемых периодах 2017-2019 годов этот показатель планируется на уровне 12,63%, 10,23% и 9,73% соответственно, что обусловлено завершением реализации в указанный период региональных программ по обеспечению жильем ветеранов ВОВ в полном объеме, а также уменьшением количества детей-сирот, достигших 18 летнего возраста.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Прогнозные показатели даны с учетом возможной реализации на территории района программы переселения граждан из аварийного жилищного фонда, признанного таковым после 01.01.2012.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VIII. Организация муниципального управления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Показатель 31. 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Доля налоговых и неналоговых доходов бюджета Белокалитвинского района в общем объеме собственных доходов бюджета района в 2016 году составила 19,96%.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Налоговые и неналоговые доходы без учета поступлений налога на доходы физических лиц по дополнительному нормативу увеличились в 2016 году на 11,00%, а безвозмездные поступления уменьшились на 17,40% к уровню предыдущего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2017 году доля собственных доходов в общем объеме доходов прогнозируется в размере 16,41%. Снижение по сравнению с 2016 годом связано с увеличением безвозмездных поступлений на 29,80%.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2018 году удельный вес собственных доходов в общих доходах бюджета района прогнозируется в размере 26,02%, что связано  с уменьшением безвозмездных поступлений на 54,50%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2019 году удельный вес собственных доходов в общих доходах бюджета района прогнозируется в размере 28,22%, что связано с более высоким темпом роста собственных доходов (+7,60%).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Показатель 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Организаций муниципальной формы собственности, находящихся в стадии банкротства, в Белокалитвинском районе 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Показатель 33. Объем не 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Объем не завершенного в установленные сроки строительства, осуществляемого за счет средств бюджета Белокалитвинского района в 2016 году составил 1790,47 тыс. рублей и сложился по объекту: «Подъезд от а/д ММ 61- 89  «Подъезд от а/д «г.Белая Калитва (от а/д г.Белая Калитва - х.Апанасовка - п.Тацинский) к х.Нижнепопов, к х.Дороговский».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2017 - 2019 годах объемы незавершенного строительства не планируются.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Показатель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Просроченная к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редиторская задолженность по оплате труда (включая начисления на оплату труда) муниципальных бюджетных учреждений Белокалитвинского района отсутствует. В прогнозируемом периоде данная тенденция сохранится.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Показатель 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Расходы бюджета муниципального образования на содержание работников органов местного самоуправления в расчете на одного жителя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Белокалитвинского района составили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в 2016 году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736,48 рублей и по отношению к 2015 году уменьшились</w:t>
      </w:r>
      <w:bookmarkStart w:id="4" w:name="_Hlk480555054"/>
      <w:bookmarkEnd w:id="4"/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 на 0,09%. Уменьшение объема расходов на содержание органов местного самоуправления в 2016 году связано с сокращением штатной численности с целью приведения в соответствие с нормативом Правительства Ростовской области, устанавливающим штатную численность выборных должностных лиц органов местного самоуправления, осуществляющих свои полномочия на постоянной основе, и муниципальных служащих в органах местного самоуправления.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В прогнозируемом периоде планируется рост показателя: в 2017 году – на 5,46%, в 2018 году – на 1,31%, а в 2019 году – на уровне 2018 года.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Увеличение расходов в 2017 году связано с истечением срока полномочий главы Белокалитвинского района и выплатой компенсаций при увольнении высшей и главной групп должностей муниципальной службы в аппарате Администрации Белокалитвинского района, структурных подразделениях и отраслевых (функциональных) органах Администрации Белокалитвинского района, а также в 2018-2019 годах в связи с сокращением среднегодовой численности населения Белокалитвинского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Схема территориального планирования муниципального района утверждена решением Собрания депутатов Белокалитвинского района от 14.12.2011 № 107 «Об утверждении схемы территориального планирования Белокалитвинского района».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Показатель 37. Удовлетворенность населения деятельностью органов местного самоуправления городского округа (муниципального района), в том  числе их информационной открытостью.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 итогам 2016 года 66,60% населения Белокалитвинского района от опрошенных удовлетворены деятельностью органов местного самоуправления района. По сравнению с 2015 годом показатель вырос на 8,6 процентных пунктов.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 целью расширения форм информирования населения района о деятельности органов местного самоуправления и решения вопросов по личным заявлениям граждан проводились следующие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- личные приемы граждан главой Администрации района (не реже 1 раза в месяц и по мере необходимости) и заместителями главы администрации района. В отчетном периоде поступило 980 обращений. Среди общего количества обращений 668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  <w:shd w:fill="FFFFFF" w:val="clear"/>
        </w:rPr>
        <w:t>письменных, 312 - у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стных (в ходе проведения личных приемов). Анализ тематики обращений, поступивших в администрацию района, показывает, что основную часть (46%) составляют вопросы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жилищно - коммунального хозяйства;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 встречи с жителями поселений, входящих в состав Белокалитвинского района, информационных групп под руководством главы Администрации района организованы не реже 3 раз в год. За 2016 год проведено 36 встреч информационных групп с жителями района. В них приняли участие 3613 человек. Во время проведения встреч на все вопросы были даны подробные разъяснения, установлены сроки их решения, даны соответствующие поручения, 38 человек записались на личный прием к главе Администрации района и заместителям главы Администрации района;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- отчеты главы Администрации района и глав поселений/администраций поселений перед населением, публикация отчетов в общественно-политической газете «Перекресток», размещение на официальном сайте администрации района, освещение на </w:t>
      </w:r>
      <w:r>
        <w:rPr>
          <w:rFonts w:ascii="Times New Roman" w:hAnsi="Times New Roman"/>
          <w:sz w:val="28"/>
          <w:szCs w:val="28"/>
          <w:shd w:fill="FFFFFF" w:val="clear"/>
        </w:rPr>
        <w:t>телеканале «Белокалитвинская панорама»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и на «Авторадио»;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 встречи главы Администрации района (2 раза в год) с руководителями и представителями политических партий, общественных организаций, религиозных национальных объединений по вопросам социально-экономического развития района, профилактике терроризма и экстремизма и другим актуальным вопросам;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 на официальном сайте администрации Белокалитвинского района создана интернет-приемная для обеспечения дополнительной возможности обращения граждан в администрацию района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. За 2016 год в электронном виде принято 37 обращений граждан.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Администрация района нацелена на дальнейшую эффективную работу в прогнозируемом периоде, и в связи с этим,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предполагается увеличить процент по данному показателю до 67,30% к 2019 году.</w:t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Показатель 38. Среднегодовая численность постоянного населения. 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Среднегодовая численность населения Белокалитвинского района в 2016 году по оценочным данным снизилась на 1,3 тыс.человек и составила 93,80 тыс. человек, ожидается в 2017 году - 92,50 тыс.человек, в 2018-2019 годах - 91,20 и 89,90 тыс. человек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Данный темп снижения численности отражает тенденции естественной убыли и миграции населения.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IX. Энергосбережение и повышение энергетической эффективности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Показатель 39. Удельная величина потребления энергетических ресурсов в многоквартирных домах. 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Показатель удельной величины потребления электроэнергии в многоквартирных домах  в 2016 году не изменился и составляет 636,80 кВт/ч на одного проживающего. 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планируемые 2017-2019 годы показатель удельной величины потребления электроэнергии в многоквартирных домах не планируется к увеличению в связи с применением энергосберегающих технологий.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Показатель удельной величины потребления тепловой энергии в многоквартирных домах не изменился и составляет 0,15 Гкал на 1 кв.метр. 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 прогнозируемый период показатель принимается 0,15 Гкал/ на 1 кв.метр в год.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Показатель удельной величины потребления воды в многоквартирных домах  в 2016 году не изменился и составляет  17,47 куб. метров на 1 проживающего. 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Данный показатель планируется к увеличению за счет строительства и реконструкции сетей водоснабжения и водоотведения на территории района в 2017 году, что приведет к стабильному снабжению водой жителей и повысит удельную  величину данного показателя.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Показатель удельной величины потребления газа в многоквартирных домах не изменился и составляет 158,68 куб. метров на 1 проживающего в 2016 году. 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Данный показатель не планируется к увеличению.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Показатель 40. Удельная величина потребления энергетических ресурсов муниципальными бюджетными учреждениями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2016 году отмечено увеличение удельной величины потребления электрической энергии муниципальными бюджетными учреждениями на 2,57 процентных пункта в сравнении с 2015 годом, в связи с введением в эксплуатацию новых точек освещения, приобретением и вводом в эксплуатацию офисной техники и других электроприборов, в том числе энергоемких: сплит-системы, стиральные машины и холодильные камеры для детских дошкольных учреждений и пр.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bookmarkStart w:id="5" w:name="_Hlk480553538"/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Увеличение удельной величины потребления электрической энергии связано с увеличением численности учащихся и воспитанников муниципальных бюджетных общеобразовательных учреждений, повышением посещаемости детьми различных кружков и секций. </w:t>
      </w:r>
      <w:bookmarkEnd w:id="5"/>
      <w:r>
        <w:rPr>
          <w:rFonts w:cs="Times New Roman" w:ascii="Times New Roman" w:hAnsi="Times New Roman"/>
          <w:sz w:val="28"/>
          <w:szCs w:val="28"/>
          <w:shd w:fill="FFFFFF" w:val="clear"/>
        </w:rPr>
        <w:t>В плановом периоде 2017-2019 годов этот показатель планируется к увеличению.</w:t>
      </w:r>
    </w:p>
    <w:p>
      <w:pPr>
        <w:pStyle w:val="Normal"/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Значение показателя «Удельная величина потребления тепловой энергии муниципальными бюджетными учреждениями» осталось на уровне 2015 года (0,02 Гкал на 1 кв. метр общей площади). В плановом периоде 2017-2019 годов показатель не планируется к увеличению. Сохранение удельной величины потребления тепловой энергии на один кв.м связано с установлением приборов учета тепловой энергии в зданиях бюджетных учреждений.</w:t>
      </w:r>
    </w:p>
    <w:p>
      <w:pPr>
        <w:pStyle w:val="Normal"/>
        <w:tabs>
          <w:tab w:val="left" w:pos="847" w:leader="none"/>
        </w:tabs>
        <w:spacing w:lineRule="auto" w:line="240" w:before="0" w:after="0"/>
        <w:ind w:firstLine="709"/>
        <w:jc w:val="both"/>
        <w:rPr>
          <w:shd w:fill="FFFF99" w:val="clear"/>
        </w:rPr>
      </w:pPr>
      <w:bookmarkStart w:id="6" w:name="_Hlk480553686"/>
      <w:bookmarkEnd w:id="6"/>
      <w:r>
        <w:rPr>
          <w:rFonts w:cs="Times New Roman" w:ascii="Times New Roman" w:hAnsi="Times New Roman"/>
          <w:sz w:val="28"/>
          <w:szCs w:val="28"/>
          <w:shd w:fill="FFFFFF" w:val="clear"/>
        </w:rPr>
        <w:t>В 2016 году отмечено увеличение удельной величины потребления холодной воды муниципальными бюджетными учреждениями на 0,06 процентного пункта в сравнении с 2015 годом, что связано с увеличением численности учащихся и воспитанников муниципальных бюджетных общеобразовательных учреждений, а также с повышением посещаемости детьми различных кружков и секций. В плановом периоде 2017-2019 годов показатель также планируется к увеличению.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firstLine="709"/>
        <w:jc w:val="both"/>
        <w:rPr>
          <w:shd w:fill="FFFF99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Увеличение показателя удельной величины потребления природного газа на 0,27 куб. метров на 1 человека населения произошло вследствие газификации</w:t>
      </w:r>
      <w:r>
        <w:rPr>
          <w:rFonts w:cs="Times New Roman" w:ascii="Times New Roman" w:hAnsi="Times New Roman"/>
          <w:i/>
          <w:iCs/>
          <w:sz w:val="28"/>
          <w:szCs w:val="28"/>
          <w:shd w:fill="FFFFFF" w:val="clear"/>
        </w:rPr>
        <w:t xml:space="preserve"> </w:t>
      </w:r>
      <w:bookmarkStart w:id="7" w:name="_Hlk480553882"/>
      <w:r>
        <w:rPr>
          <w:rFonts w:cs="Times New Roman" w:ascii="Times New Roman" w:hAnsi="Times New Roman"/>
          <w:sz w:val="28"/>
          <w:szCs w:val="28"/>
          <w:shd w:fill="FFFFFF" w:val="clear"/>
        </w:rPr>
        <w:t>в 2016 году Администрации Краснодонецкого сельского поселения, а также дальнейшей работой трех общеобразовательных учреждений (МБДОУ детский сад №58 «Росинка», МБДОУ детский сад №59 «Ромашка», МБУ ДО ДЮСШ №3) и двух учреждений культуры (МБУ ДО «Детская музыкальная школа х. Богураев», МБУК Богураевского сельского поселения «Богураевская клубная система») газифицированных в 2015 году.</w:t>
      </w:r>
      <w:bookmarkEnd w:id="7"/>
      <w:r>
        <w:rPr>
          <w:rFonts w:cs="Times New Roman" w:ascii="Times New Roman" w:hAnsi="Times New Roman"/>
          <w:i/>
          <w:i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 плановом периоде 2017-2019 годов  планируется увеличение удельной величины потребления природного газа муниципальными бюджетными учреждениями в связи с дальнейшей газификацией и техническим перевооружением угольных котельных по использованию вида топлива «природный газ» вместо твердого топлива (угля)</w:t>
      </w:r>
      <w:r>
        <w:rPr>
          <w:rFonts w:cs="Times New Roman" w:ascii="Times New Roman" w:hAnsi="Times New Roman"/>
          <w:i/>
          <w:iCs/>
          <w:sz w:val="28"/>
          <w:szCs w:val="28"/>
          <w:shd w:fill="FFFFFF" w:val="clear"/>
        </w:rPr>
        <w:t>.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Учитывая, что для расчета данного показателя применяется среднегодовая численность постоянного населения муниципального района, которая имеет ежегодную тенденцию к снижению, все удельные величины показателя будут увеличиваться по объективным причинам.</w:t>
      </w:r>
    </w:p>
    <w:sectPr>
      <w:footerReference w:type="default" r:id="rId2"/>
      <w:type w:val="nextPage"/>
      <w:pgSz w:w="11906" w:h="16838"/>
      <w:pgMar w:left="1134" w:right="567" w:header="0" w:top="624" w:footer="567" w:bottom="152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spacing w:before="0" w:after="20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16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qFormat/>
    <w:rPr>
      <w:sz w:val="22"/>
      <w:szCs w:val="22"/>
    </w:rPr>
  </w:style>
  <w:style w:type="character" w:styleId="Style16" w:customStyle="1">
    <w:name w:val="Нижний колонтитул Знак"/>
    <w:qFormat/>
    <w:rPr>
      <w:sz w:val="22"/>
      <w:szCs w:val="22"/>
    </w:rPr>
  </w:style>
  <w:style w:type="character" w:styleId="ListLabel4" w:customStyle="1">
    <w:name w:val="ListLabel 4"/>
    <w:qFormat/>
    <w:rPr>
      <w:rFonts w:eastAsia="Times New Roman"/>
    </w:rPr>
  </w:style>
  <w:style w:type="character" w:styleId="ListLabel3" w:customStyle="1">
    <w:name w:val="ListLabel 3"/>
    <w:qFormat/>
    <w:rPr>
      <w:rFonts w:eastAsia="Wingdings"/>
    </w:rPr>
  </w:style>
  <w:style w:type="character" w:styleId="ListLabel2" w:customStyle="1">
    <w:name w:val="ListLabel 2"/>
    <w:qFormat/>
    <w:rPr>
      <w:rFonts w:eastAsia="Courier New"/>
    </w:rPr>
  </w:style>
  <w:style w:type="character" w:styleId="ListLabel1" w:customStyle="1">
    <w:name w:val="ListLabel 1"/>
    <w:qFormat/>
    <w:rPr>
      <w:rFonts w:eastAsia="Symbol"/>
    </w:rPr>
  </w:style>
  <w:style w:type="character" w:styleId="Style17" w:customStyle="1">
    <w:name w:val="Основной текст_"/>
    <w:qFormat/>
    <w:rPr>
      <w:sz w:val="27"/>
      <w:shd w:fill="FFFFFF" w:val="clear"/>
    </w:rPr>
  </w:style>
  <w:style w:type="character" w:styleId="Style18" w:customStyle="1">
    <w:name w:val="Основной текст Знак"/>
    <w:qFormat/>
    <w:rPr>
      <w:sz w:val="24"/>
    </w:rPr>
  </w:style>
  <w:style w:type="character" w:styleId="21" w:customStyle="1">
    <w:name w:val="Основной текст с отступом 2 Знак"/>
    <w:qFormat/>
    <w:rPr>
      <w:sz w:val="24"/>
    </w:rPr>
  </w:style>
  <w:style w:type="character" w:styleId="31" w:customStyle="1">
    <w:name w:val="Основной текст с отступом 3 Знак"/>
    <w:qFormat/>
    <w:rPr>
      <w:sz w:val="16"/>
    </w:rPr>
  </w:style>
  <w:style w:type="character" w:styleId="Style19" w:customStyle="1">
    <w:name w:val="Основной текст с отступом Знак"/>
    <w:qFormat/>
    <w:rPr>
      <w:sz w:val="24"/>
    </w:rPr>
  </w:style>
  <w:style w:type="character" w:styleId="5" w:customStyle="1">
    <w:name w:val="Заголовок 5 Знак"/>
    <w:qFormat/>
    <w:rPr>
      <w:rFonts w:ascii="Calibri" w:hAnsi="Calibri" w:eastAsia="0"/>
      <w:b/>
      <w:i/>
      <w:sz w:val="26"/>
    </w:rPr>
  </w:style>
  <w:style w:type="character" w:styleId="4" w:customStyle="1">
    <w:name w:val="Заголовок 4 Знак"/>
    <w:qFormat/>
    <w:rPr>
      <w:rFonts w:ascii="Calibri" w:hAnsi="Calibri" w:eastAsia="0"/>
      <w:b/>
      <w:sz w:val="28"/>
    </w:rPr>
  </w:style>
  <w:style w:type="character" w:styleId="32" w:customStyle="1">
    <w:name w:val="Заголовок 3 Знак"/>
    <w:qFormat/>
    <w:rPr>
      <w:rFonts w:ascii="Cambria" w:hAnsi="Cambria" w:eastAsia="0"/>
      <w:b/>
      <w:sz w:val="26"/>
    </w:rPr>
  </w:style>
  <w:style w:type="character" w:styleId="22" w:customStyle="1">
    <w:name w:val="Заголовок 2 Знак"/>
    <w:qFormat/>
    <w:rPr>
      <w:rFonts w:ascii="Cambria" w:hAnsi="Cambria" w:eastAsia="0"/>
      <w:b/>
      <w:i/>
      <w:sz w:val="28"/>
    </w:rPr>
  </w:style>
  <w:style w:type="character" w:styleId="11" w:customStyle="1">
    <w:name w:val="Заголовок 1 Знак"/>
    <w:qFormat/>
    <w:rPr>
      <w:rFonts w:ascii="Cambria" w:hAnsi="Cambria" w:eastAsia="0"/>
      <w:b/>
      <w:sz w:val="32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Style21">
    <w:name w:val="Основной текст"/>
    <w:basedOn w:val="Normal"/>
    <w:pPr>
      <w:spacing w:lineRule="auto" w:line="288" w:before="0" w:after="140"/>
    </w:pPr>
    <w:rPr/>
  </w:style>
  <w:style w:type="paragraph" w:styleId="Style22">
    <w:name w:val="Список"/>
    <w:basedOn w:val="Style21"/>
    <w:pPr/>
    <w:rPr>
      <w:rFonts w:ascii="Times New Roman" w:hAnsi="Times New Roman" w:cs="FreeSans"/>
    </w:rPr>
  </w:style>
  <w:style w:type="paragraph" w:styleId="Style23" w:customStyle="1">
    <w:name w:val="Название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5">
    <w:name w:val="Заглавие"/>
    <w:basedOn w:val="Normal"/>
    <w:qFormat/>
    <w:pPr>
      <w:keepNext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33" w:customStyle="1">
    <w:name w:val="Указатель3"/>
    <w:basedOn w:val="Normal"/>
    <w:qFormat/>
    <w:pPr>
      <w:suppressLineNumbers/>
    </w:pPr>
    <w:rPr>
      <w:rFonts w:ascii="Times New Roman" w:hAnsi="Times New Roman" w:cs="FreeSans"/>
    </w:rPr>
  </w:style>
  <w:style w:type="paragraph" w:styleId="23" w:customStyle="1">
    <w:name w:val="Название объекта2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24" w:customStyle="1">
    <w:name w:val="Указатель2"/>
    <w:basedOn w:val="Normal"/>
    <w:qFormat/>
    <w:pPr>
      <w:suppressLineNumbers/>
    </w:pPr>
    <w:rPr>
      <w:rFonts w:ascii="Times New Roman" w:hAnsi="Times New Roman" w:cs="FreeSans"/>
    </w:rPr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6" w:customStyle="1">
    <w:name w:val="Знак Знак Знак Знак Знак Знак Знак Знак Знак Знак Знак Знак"/>
    <w:basedOn w:val="Normal"/>
    <w:qFormat/>
    <w:pPr>
      <w:spacing w:lineRule="auto" w:line="240" w:before="280" w:after="280"/>
      <w:jc w:val="both"/>
    </w:pPr>
    <w:rPr>
      <w:rFonts w:ascii="Tahoma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</w:rPr>
  </w:style>
  <w:style w:type="paragraph" w:styleId="Style27" w:customStyle="1">
    <w:name w:val="Знак Знак Знак Знак Знак Знак Знак Знак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8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9">
    <w:name w:val="Ниж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0" w:customStyle="1">
    <w:name w:val="Содержимое таблицы"/>
    <w:basedOn w:val="Normal"/>
    <w:qFormat/>
    <w:pPr>
      <w:suppressLineNumbers/>
    </w:pPr>
    <w:rPr/>
  </w:style>
  <w:style w:type="paragraph" w:styleId="Style31" w:customStyle="1">
    <w:name w:val="Заголовок таблицы"/>
    <w:basedOn w:val="Style30"/>
    <w:qFormat/>
    <w:pPr>
      <w:jc w:val="center"/>
    </w:pPr>
    <w:rPr>
      <w:b/>
      <w:bCs/>
    </w:rPr>
  </w:style>
  <w:style w:type="paragraph" w:styleId="14" w:customStyle="1">
    <w:name w:val="Основной текст1"/>
    <w:basedOn w:val="Normal"/>
    <w:qFormat/>
    <w:pPr>
      <w:widowControl w:val="false"/>
      <w:shd w:val="clear" w:color="auto" w:fill="FFFFFF"/>
      <w:spacing w:lineRule="exact" w:line="317"/>
      <w:jc w:val="center"/>
    </w:pPr>
    <w:rPr>
      <w:sz w:val="27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qFormat/>
    <w:pPr>
      <w:ind w:firstLine="720"/>
      <w:jc w:val="both"/>
    </w:pPr>
    <w:rPr>
      <w:sz w:val="2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27320</TotalTime>
  <Application>LibreOffice/4.4.1.2$Linux_x86 LibreOffice_project/40m0$Build-2</Application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2016-04-19T18:21:00Z</dcterms:created>
  <dc:creator>513</dc:creator>
  <dc:language>ru-RU</dc:language>
  <cp:lastModifiedBy>vga  </cp:lastModifiedBy>
  <cp:lastPrinted>2017-04-21T11:53:00Z</cp:lastPrinted>
  <dcterms:modified xsi:type="dcterms:W3CDTF">2017-04-27T10:49:14Z</dcterms:modified>
  <cp:revision>22</cp:revision>
  <dc:title>Приложение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